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96A6A" w14:textId="77777777" w:rsidR="001335A6" w:rsidRDefault="001335A6" w:rsidP="006752D6">
      <w:pPr>
        <w:pStyle w:val="Nadpis1"/>
        <w:numPr>
          <w:ilvl w:val="0"/>
          <w:numId w:val="0"/>
        </w:numPr>
        <w:rPr>
          <w:rStyle w:val="normaltextrun"/>
          <w:color w:val="FF0000"/>
        </w:rPr>
      </w:pPr>
      <w:bookmarkStart w:id="0" w:name="_Toc80348396"/>
    </w:p>
    <w:p w14:paraId="4D206FD0" w14:textId="77777777" w:rsidR="001335A6" w:rsidRDefault="001335A6" w:rsidP="001335A6">
      <w:pPr>
        <w:rPr>
          <w:lang w:val="cs-CZ"/>
        </w:rPr>
      </w:pPr>
    </w:p>
    <w:p w14:paraId="57169880" w14:textId="038B4A7B" w:rsidR="001335A6" w:rsidRDefault="00B431E0" w:rsidP="00B431E0">
      <w:pPr>
        <w:jc w:val="center"/>
        <w:rPr>
          <w:lang w:val="cs-CZ"/>
        </w:rPr>
      </w:pPr>
      <w:r>
        <w:rPr>
          <w:noProof/>
          <w:lang w:val="cs-CZ" w:eastAsia="cs-CZ"/>
        </w:rPr>
        <w:drawing>
          <wp:inline distT="0" distB="0" distL="0" distR="0" wp14:anchorId="7D6CE704" wp14:editId="55E77E49">
            <wp:extent cx="1878127" cy="774065"/>
            <wp:effectExtent l="0" t="0" r="8255" b="698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8127" cy="774065"/>
                    </a:xfrm>
                    <a:prstGeom prst="rect">
                      <a:avLst/>
                    </a:prstGeom>
                  </pic:spPr>
                </pic:pic>
              </a:graphicData>
            </a:graphic>
          </wp:inline>
        </w:drawing>
      </w:r>
    </w:p>
    <w:p w14:paraId="0C4A268B" w14:textId="77777777" w:rsidR="00712635" w:rsidRPr="00875ED7" w:rsidRDefault="00D81379" w:rsidP="00712635">
      <w:pPr>
        <w:pStyle w:val="UZEI"/>
        <w:rPr>
          <w:rFonts w:ascii="Times New Roman" w:hAnsi="Times New Roman"/>
          <w:lang w:val="cs-CZ"/>
        </w:rPr>
      </w:pPr>
      <w:r w:rsidRPr="00875ED7">
        <w:rPr>
          <w:rFonts w:ascii="Times New Roman" w:hAnsi="Times New Roman"/>
          <w:lang w:val="cs-CZ"/>
        </w:rPr>
        <w:t>Ústav zemědělské ekonomiky a informací</w:t>
      </w:r>
    </w:p>
    <w:p w14:paraId="02C849EA" w14:textId="77777777" w:rsidR="007A0B29" w:rsidRDefault="007A0B29" w:rsidP="00712635">
      <w:pPr>
        <w:pStyle w:val="UZEI"/>
        <w:rPr>
          <w:lang w:val="cs-CZ"/>
        </w:rPr>
      </w:pPr>
    </w:p>
    <w:p w14:paraId="1533DD2F" w14:textId="77777777" w:rsidR="007A0B29" w:rsidRDefault="007A0B29" w:rsidP="00712635">
      <w:pPr>
        <w:pStyle w:val="UZEI"/>
        <w:rPr>
          <w:lang w:val="cs-CZ"/>
        </w:rPr>
      </w:pPr>
    </w:p>
    <w:p w14:paraId="32E7B7F2" w14:textId="77777777" w:rsidR="007A0B29" w:rsidRDefault="007A0B29" w:rsidP="00712635">
      <w:pPr>
        <w:pStyle w:val="UZEI"/>
        <w:rPr>
          <w:lang w:val="cs-CZ"/>
        </w:rPr>
      </w:pPr>
    </w:p>
    <w:p w14:paraId="599E09AF" w14:textId="77777777" w:rsidR="007A0B29" w:rsidRDefault="007A0B29" w:rsidP="00712635">
      <w:pPr>
        <w:pStyle w:val="UZEI"/>
        <w:rPr>
          <w:lang w:val="cs-CZ"/>
        </w:rPr>
      </w:pPr>
    </w:p>
    <w:p w14:paraId="06DD608B" w14:textId="77777777" w:rsidR="007A0B29" w:rsidRDefault="007A0B29" w:rsidP="00712635">
      <w:pPr>
        <w:pStyle w:val="UZEI"/>
        <w:rPr>
          <w:lang w:val="cs-CZ"/>
        </w:rPr>
      </w:pPr>
    </w:p>
    <w:p w14:paraId="13B55680" w14:textId="77777777" w:rsidR="00D81379" w:rsidRPr="00A72D14" w:rsidRDefault="00D81379" w:rsidP="00F94185">
      <w:pPr>
        <w:pStyle w:val="UZEI"/>
        <w:rPr>
          <w:rFonts w:ascii="Times New Roman" w:hAnsi="Times New Roman"/>
          <w:sz w:val="32"/>
          <w:szCs w:val="32"/>
        </w:rPr>
      </w:pPr>
      <w:r w:rsidRPr="00A72D14">
        <w:rPr>
          <w:rFonts w:ascii="Times New Roman" w:hAnsi="Times New Roman"/>
          <w:sz w:val="32"/>
          <w:szCs w:val="32"/>
        </w:rPr>
        <w:t>PODKLADOVÉ ANALÝZY PRO PŘÍPRAVU SZP V PROGRAMOVÉM OBDOBÍ 2021+</w:t>
      </w:r>
    </w:p>
    <w:p w14:paraId="40DF8CA1" w14:textId="77777777" w:rsidR="00F94185" w:rsidRDefault="00F94185" w:rsidP="003C2914">
      <w:pPr>
        <w:pStyle w:val="st-rok"/>
        <w:spacing w:before="360"/>
        <w:rPr>
          <w:sz w:val="32"/>
          <w:szCs w:val="28"/>
        </w:rPr>
      </w:pPr>
    </w:p>
    <w:p w14:paraId="2EC4223A" w14:textId="5035F407" w:rsidR="00D81379" w:rsidRPr="003C2914" w:rsidRDefault="00D81379" w:rsidP="003C2914">
      <w:pPr>
        <w:pStyle w:val="st-rok"/>
        <w:spacing w:before="360"/>
        <w:rPr>
          <w:sz w:val="32"/>
          <w:szCs w:val="28"/>
        </w:rPr>
      </w:pPr>
      <w:r w:rsidRPr="003C2914">
        <w:rPr>
          <w:sz w:val="32"/>
          <w:szCs w:val="28"/>
        </w:rPr>
        <w:t>Podklady pro přílohu Strategického plánu</w:t>
      </w:r>
    </w:p>
    <w:p w14:paraId="3561C79D" w14:textId="77777777" w:rsidR="00D81379" w:rsidRPr="003C2914" w:rsidRDefault="00D81379" w:rsidP="003C2914">
      <w:pPr>
        <w:pStyle w:val="st-rok"/>
        <w:spacing w:before="360"/>
      </w:pPr>
      <w:r w:rsidRPr="003C2914">
        <w:rPr>
          <w:caps/>
        </w:rPr>
        <w:t>Specifický cíl G – ZÍSKÁVAT</w:t>
      </w:r>
      <w:r w:rsidRPr="003C2914">
        <w:t xml:space="preserve"> MLADÉ ZEMĚDĚLCE A USNADŇOVAT ROZVOJ PODNIKÁNÍ VE VENKOVSKÝCH OBLASTECH</w:t>
      </w:r>
    </w:p>
    <w:p w14:paraId="0333A2E3" w14:textId="77777777" w:rsidR="00D81379" w:rsidRPr="00A8174D" w:rsidRDefault="00D81379" w:rsidP="003C2914">
      <w:pPr>
        <w:jc w:val="center"/>
      </w:pPr>
    </w:p>
    <w:p w14:paraId="6EFC9190" w14:textId="77777777" w:rsidR="00D81379" w:rsidRPr="00A8174D" w:rsidRDefault="00D81379" w:rsidP="003C2914">
      <w:pPr>
        <w:jc w:val="center"/>
      </w:pPr>
    </w:p>
    <w:p w14:paraId="671D50A7" w14:textId="77777777" w:rsidR="003C2914" w:rsidRPr="003C2914" w:rsidRDefault="003C2914" w:rsidP="003C2914">
      <w:pPr>
        <w:jc w:val="center"/>
        <w:rPr>
          <w:rFonts w:cs="Times New Roman"/>
        </w:rPr>
      </w:pPr>
      <w:r w:rsidRPr="003C2914">
        <w:rPr>
          <w:rFonts w:cs="Times New Roman"/>
        </w:rPr>
        <w:t>Marie Šimpachová Pechrová, Daniela Spěšná, Jan Drlík, Tomáš Medonos</w:t>
      </w:r>
    </w:p>
    <w:p w14:paraId="6A693CDF" w14:textId="77777777" w:rsidR="00D81379" w:rsidRPr="00A8174D" w:rsidRDefault="00D81379" w:rsidP="003C2914">
      <w:pPr>
        <w:jc w:val="center"/>
      </w:pPr>
    </w:p>
    <w:p w14:paraId="625115A5" w14:textId="77777777" w:rsidR="00D81379" w:rsidRPr="00A8174D" w:rsidRDefault="00D81379" w:rsidP="003C2914">
      <w:pPr>
        <w:jc w:val="center"/>
      </w:pPr>
    </w:p>
    <w:p w14:paraId="5BB84497" w14:textId="77777777" w:rsidR="00D81379" w:rsidRPr="00A8174D" w:rsidRDefault="00D81379" w:rsidP="003C2914">
      <w:pPr>
        <w:jc w:val="center"/>
      </w:pPr>
    </w:p>
    <w:p w14:paraId="472C330A" w14:textId="77777777" w:rsidR="00D81379" w:rsidRPr="00A8174D" w:rsidRDefault="00D81379" w:rsidP="00D81379"/>
    <w:p w14:paraId="05AEECD7" w14:textId="77777777" w:rsidR="00D81379" w:rsidRPr="00A8174D" w:rsidRDefault="00D81379" w:rsidP="00D81379"/>
    <w:p w14:paraId="22C09E4B" w14:textId="77777777" w:rsidR="00D81379" w:rsidRPr="00A8174D" w:rsidRDefault="00D81379" w:rsidP="00D81379"/>
    <w:p w14:paraId="528560D6" w14:textId="77777777" w:rsidR="00D81379" w:rsidRPr="00A8174D" w:rsidRDefault="00D81379" w:rsidP="00D81379"/>
    <w:p w14:paraId="0EC2B4FB" w14:textId="77777777" w:rsidR="009D7357" w:rsidRDefault="009D7357" w:rsidP="00D81379">
      <w:pPr>
        <w:jc w:val="center"/>
        <w:rPr>
          <w:color w:val="000000" w:themeColor="text1"/>
        </w:rPr>
      </w:pPr>
    </w:p>
    <w:p w14:paraId="15DFAB45" w14:textId="77777777" w:rsidR="009D7357" w:rsidRDefault="009D7357" w:rsidP="00D81379">
      <w:pPr>
        <w:jc w:val="center"/>
        <w:rPr>
          <w:color w:val="000000" w:themeColor="text1"/>
        </w:rPr>
      </w:pPr>
    </w:p>
    <w:p w14:paraId="3FC77774" w14:textId="77777777" w:rsidR="009D7357" w:rsidRDefault="009D7357" w:rsidP="00D81379">
      <w:pPr>
        <w:jc w:val="center"/>
        <w:rPr>
          <w:color w:val="000000" w:themeColor="text1"/>
        </w:rPr>
      </w:pPr>
    </w:p>
    <w:p w14:paraId="1283E00E" w14:textId="77777777" w:rsidR="009D7357" w:rsidRDefault="009D7357" w:rsidP="00D81379">
      <w:pPr>
        <w:jc w:val="center"/>
        <w:rPr>
          <w:color w:val="000000" w:themeColor="text1"/>
        </w:rPr>
      </w:pPr>
    </w:p>
    <w:p w14:paraId="29BDAA94" w14:textId="77777777" w:rsidR="009D7357" w:rsidRDefault="009D7357" w:rsidP="00D81379">
      <w:pPr>
        <w:jc w:val="center"/>
        <w:rPr>
          <w:color w:val="000000" w:themeColor="text1"/>
        </w:rPr>
      </w:pPr>
    </w:p>
    <w:p w14:paraId="49B64F1D" w14:textId="77777777" w:rsidR="009D7357" w:rsidRDefault="009D7357" w:rsidP="00D81379">
      <w:pPr>
        <w:jc w:val="center"/>
        <w:rPr>
          <w:color w:val="000000" w:themeColor="text1"/>
        </w:rPr>
      </w:pPr>
    </w:p>
    <w:p w14:paraId="675A2440" w14:textId="77777777" w:rsidR="009D7357" w:rsidRDefault="009D7357" w:rsidP="00D81379">
      <w:pPr>
        <w:jc w:val="center"/>
        <w:rPr>
          <w:color w:val="000000" w:themeColor="text1"/>
        </w:rPr>
      </w:pPr>
    </w:p>
    <w:p w14:paraId="5A98D880" w14:textId="77777777" w:rsidR="009D7357" w:rsidRDefault="009D7357" w:rsidP="00D81379">
      <w:pPr>
        <w:jc w:val="center"/>
        <w:rPr>
          <w:color w:val="000000" w:themeColor="text1"/>
        </w:rPr>
      </w:pPr>
    </w:p>
    <w:p w14:paraId="5C826BF1" w14:textId="77777777" w:rsidR="009D7357" w:rsidRDefault="009D7357" w:rsidP="00D81379">
      <w:pPr>
        <w:jc w:val="center"/>
        <w:rPr>
          <w:color w:val="000000" w:themeColor="text1"/>
        </w:rPr>
      </w:pPr>
    </w:p>
    <w:p w14:paraId="04D15F84" w14:textId="77777777" w:rsidR="009D7357" w:rsidRDefault="009D7357" w:rsidP="00D81379">
      <w:pPr>
        <w:jc w:val="center"/>
        <w:rPr>
          <w:color w:val="000000" w:themeColor="text1"/>
        </w:rPr>
      </w:pPr>
    </w:p>
    <w:p w14:paraId="61E0D76B" w14:textId="4A25D0B4" w:rsidR="00D81379" w:rsidRPr="009D7357" w:rsidRDefault="00D81379" w:rsidP="00D81379">
      <w:pPr>
        <w:jc w:val="center"/>
        <w:rPr>
          <w:b/>
          <w:bCs/>
          <w:color w:val="000000" w:themeColor="text1"/>
          <w:sz w:val="32"/>
          <w:szCs w:val="32"/>
        </w:rPr>
      </w:pPr>
      <w:r w:rsidRPr="009D7357">
        <w:rPr>
          <w:color w:val="000000" w:themeColor="text1"/>
        </w:rPr>
        <w:t xml:space="preserve">Praha, </w:t>
      </w:r>
      <w:r w:rsidR="00C534D0">
        <w:rPr>
          <w:color w:val="000000" w:themeColor="text1"/>
        </w:rPr>
        <w:t>leden 2022</w:t>
      </w:r>
    </w:p>
    <w:p w14:paraId="0F780BEE" w14:textId="77777777" w:rsidR="009D7357" w:rsidRDefault="009D7357" w:rsidP="001335A6">
      <w:pPr>
        <w:rPr>
          <w:lang w:val="cs-CZ"/>
        </w:rPr>
      </w:pPr>
    </w:p>
    <w:p w14:paraId="60CA3DD5" w14:textId="70D7A0C0" w:rsidR="00C80140" w:rsidRDefault="00E93FD8" w:rsidP="009169B4">
      <w:pPr>
        <w:pStyle w:val="UZEINadpis1stbezsla"/>
      </w:pPr>
      <w:bookmarkStart w:id="1" w:name="_Toc81752165"/>
      <w:r>
        <w:lastRenderedPageBreak/>
        <w:t>Seznam tabulek</w:t>
      </w:r>
      <w:bookmarkEnd w:id="1"/>
    </w:p>
    <w:p w14:paraId="000A0B49" w14:textId="1A4274A1" w:rsidR="006826AD" w:rsidRPr="00693A2B" w:rsidRDefault="006826AD" w:rsidP="006826AD">
      <w:pPr>
        <w:rPr>
          <w:sz w:val="20"/>
          <w:szCs w:val="20"/>
          <w:lang w:val="cs-CZ"/>
        </w:rPr>
      </w:pPr>
    </w:p>
    <w:p w14:paraId="5C796984" w14:textId="4476B41C" w:rsidR="00E93FD8" w:rsidRDefault="00E93FD8" w:rsidP="00E93FD8">
      <w:pPr>
        <w:pStyle w:val="Obsah4"/>
        <w:tabs>
          <w:tab w:val="left" w:pos="1920"/>
          <w:tab w:val="right" w:leader="dot" w:pos="9016"/>
        </w:tabs>
        <w:ind w:left="1134" w:hanging="992"/>
        <w:rPr>
          <w:rFonts w:asciiTheme="minorHAnsi" w:eastAsiaTheme="minorEastAsia" w:hAnsiTheme="minorHAnsi"/>
          <w:noProof/>
          <w:sz w:val="24"/>
          <w:szCs w:val="24"/>
          <w:lang w:val="cs-CZ" w:eastAsia="cs-CZ"/>
        </w:rPr>
      </w:pPr>
      <w:r>
        <w:rPr>
          <w:b/>
          <w:bCs/>
          <w:smallCaps/>
          <w:szCs w:val="20"/>
          <w:lang w:val="cs-CZ"/>
        </w:rPr>
        <w:fldChar w:fldCharType="begin"/>
      </w:r>
      <w:r>
        <w:rPr>
          <w:b/>
          <w:bCs/>
          <w:smallCaps/>
          <w:szCs w:val="20"/>
          <w:lang w:val="cs-CZ"/>
        </w:rPr>
        <w:instrText xml:space="preserve"> TOC \h \z \t "UZEI TaB;4" </w:instrText>
      </w:r>
      <w:r>
        <w:rPr>
          <w:b/>
          <w:bCs/>
          <w:smallCaps/>
          <w:szCs w:val="20"/>
          <w:lang w:val="cs-CZ"/>
        </w:rPr>
        <w:fldChar w:fldCharType="separate"/>
      </w:r>
      <w:hyperlink w:anchor="_Toc81751996" w:history="1">
        <w:r w:rsidRPr="006F0343">
          <w:rPr>
            <w:rStyle w:val="Hypertextovodkaz"/>
            <w:noProof/>
          </w:rPr>
          <w:t>Tabulka 1</w:t>
        </w:r>
        <w:r>
          <w:rPr>
            <w:rFonts w:asciiTheme="minorHAnsi" w:eastAsiaTheme="minorEastAsia" w:hAnsiTheme="minorHAnsi"/>
            <w:noProof/>
            <w:sz w:val="24"/>
            <w:szCs w:val="24"/>
            <w:lang w:val="cs-CZ" w:eastAsia="cs-CZ"/>
          </w:rPr>
          <w:tab/>
        </w:r>
        <w:r w:rsidRPr="006F0343">
          <w:rPr>
            <w:rStyle w:val="Hypertextovodkaz"/>
            <w:noProof/>
          </w:rPr>
          <w:t>Vyplacené prostředky z národních dotacích na poradenství MZe (v mil. Kč)</w:t>
        </w:r>
        <w:r>
          <w:rPr>
            <w:noProof/>
            <w:webHidden/>
          </w:rPr>
          <w:tab/>
        </w:r>
        <w:r>
          <w:rPr>
            <w:noProof/>
            <w:webHidden/>
          </w:rPr>
          <w:fldChar w:fldCharType="begin"/>
        </w:r>
        <w:r>
          <w:rPr>
            <w:noProof/>
            <w:webHidden/>
          </w:rPr>
          <w:instrText xml:space="preserve"> PAGEREF _Toc81751996 \h </w:instrText>
        </w:r>
        <w:r>
          <w:rPr>
            <w:noProof/>
            <w:webHidden/>
          </w:rPr>
        </w:r>
        <w:r>
          <w:rPr>
            <w:noProof/>
            <w:webHidden/>
          </w:rPr>
          <w:fldChar w:fldCharType="separate"/>
        </w:r>
        <w:r>
          <w:rPr>
            <w:noProof/>
            <w:webHidden/>
          </w:rPr>
          <w:t>21</w:t>
        </w:r>
        <w:r>
          <w:rPr>
            <w:noProof/>
            <w:webHidden/>
          </w:rPr>
          <w:fldChar w:fldCharType="end"/>
        </w:r>
      </w:hyperlink>
    </w:p>
    <w:p w14:paraId="38D1E48A" w14:textId="700C7388" w:rsidR="00E93FD8" w:rsidRDefault="00C534D0" w:rsidP="00E93FD8">
      <w:pPr>
        <w:pStyle w:val="Obsah4"/>
        <w:tabs>
          <w:tab w:val="left" w:pos="1920"/>
          <w:tab w:val="right" w:leader="dot" w:pos="9016"/>
        </w:tabs>
        <w:ind w:left="1134" w:hanging="992"/>
        <w:rPr>
          <w:rFonts w:asciiTheme="minorHAnsi" w:eastAsiaTheme="minorEastAsia" w:hAnsiTheme="minorHAnsi"/>
          <w:noProof/>
          <w:sz w:val="24"/>
          <w:szCs w:val="24"/>
          <w:lang w:val="cs-CZ" w:eastAsia="cs-CZ"/>
        </w:rPr>
      </w:pPr>
      <w:hyperlink w:anchor="_Toc81751997" w:history="1">
        <w:r w:rsidR="00E93FD8" w:rsidRPr="006F0343">
          <w:rPr>
            <w:rStyle w:val="Hypertextovodkaz"/>
            <w:noProof/>
          </w:rPr>
          <w:t>Tabulka 2</w:t>
        </w:r>
        <w:r w:rsidR="00E93FD8">
          <w:rPr>
            <w:rFonts w:asciiTheme="minorHAnsi" w:eastAsiaTheme="minorEastAsia" w:hAnsiTheme="minorHAnsi"/>
            <w:noProof/>
            <w:sz w:val="24"/>
            <w:szCs w:val="24"/>
            <w:lang w:val="cs-CZ" w:eastAsia="cs-CZ"/>
          </w:rPr>
          <w:tab/>
        </w:r>
        <w:r w:rsidR="00E93FD8" w:rsidRPr="006F0343">
          <w:rPr>
            <w:rStyle w:val="Hypertextovodkaz"/>
            <w:noProof/>
          </w:rPr>
          <w:t>Počty příjemců dotací a konečných uživatelů národních dotací na poradenství</w:t>
        </w:r>
        <w:r w:rsidR="00E93FD8">
          <w:rPr>
            <w:noProof/>
            <w:webHidden/>
          </w:rPr>
          <w:tab/>
        </w:r>
        <w:r w:rsidR="00E93FD8">
          <w:rPr>
            <w:noProof/>
            <w:webHidden/>
          </w:rPr>
          <w:fldChar w:fldCharType="begin"/>
        </w:r>
        <w:r w:rsidR="00E93FD8">
          <w:rPr>
            <w:noProof/>
            <w:webHidden/>
          </w:rPr>
          <w:instrText xml:space="preserve"> PAGEREF _Toc81751997 \h </w:instrText>
        </w:r>
        <w:r w:rsidR="00E93FD8">
          <w:rPr>
            <w:noProof/>
            <w:webHidden/>
          </w:rPr>
        </w:r>
        <w:r w:rsidR="00E93FD8">
          <w:rPr>
            <w:noProof/>
            <w:webHidden/>
          </w:rPr>
          <w:fldChar w:fldCharType="separate"/>
        </w:r>
        <w:r w:rsidR="00E93FD8">
          <w:rPr>
            <w:noProof/>
            <w:webHidden/>
          </w:rPr>
          <w:t>21</w:t>
        </w:r>
        <w:r w:rsidR="00E93FD8">
          <w:rPr>
            <w:noProof/>
            <w:webHidden/>
          </w:rPr>
          <w:fldChar w:fldCharType="end"/>
        </w:r>
      </w:hyperlink>
    </w:p>
    <w:p w14:paraId="67395813" w14:textId="265ABF5B" w:rsidR="00E93FD8" w:rsidRDefault="00C534D0" w:rsidP="00E93FD8">
      <w:pPr>
        <w:pStyle w:val="Obsah4"/>
        <w:tabs>
          <w:tab w:val="left" w:pos="1920"/>
          <w:tab w:val="right" w:leader="dot" w:pos="9016"/>
        </w:tabs>
        <w:ind w:left="1134" w:hanging="992"/>
        <w:rPr>
          <w:rFonts w:asciiTheme="minorHAnsi" w:eastAsiaTheme="minorEastAsia" w:hAnsiTheme="minorHAnsi"/>
          <w:noProof/>
          <w:sz w:val="24"/>
          <w:szCs w:val="24"/>
          <w:lang w:val="cs-CZ" w:eastAsia="cs-CZ"/>
        </w:rPr>
      </w:pPr>
      <w:hyperlink w:anchor="_Toc81751998" w:history="1">
        <w:r w:rsidR="00E93FD8" w:rsidRPr="006F0343">
          <w:rPr>
            <w:rStyle w:val="Hypertextovodkaz"/>
            <w:noProof/>
          </w:rPr>
          <w:t>Tabulka 3</w:t>
        </w:r>
        <w:r w:rsidR="00E93FD8">
          <w:rPr>
            <w:rFonts w:asciiTheme="minorHAnsi" w:eastAsiaTheme="minorEastAsia" w:hAnsiTheme="minorHAnsi"/>
            <w:noProof/>
            <w:sz w:val="24"/>
            <w:szCs w:val="24"/>
            <w:lang w:val="cs-CZ" w:eastAsia="cs-CZ"/>
          </w:rPr>
          <w:tab/>
        </w:r>
        <w:r w:rsidR="00E93FD8" w:rsidRPr="006F0343">
          <w:rPr>
            <w:rStyle w:val="Hypertextovodkaz"/>
            <w:noProof/>
          </w:rPr>
          <w:t>Vývoj vzdělanostní struktury manažerů zemědělských podniků</w:t>
        </w:r>
        <w:r w:rsidR="00E93FD8">
          <w:rPr>
            <w:noProof/>
            <w:webHidden/>
          </w:rPr>
          <w:tab/>
        </w:r>
        <w:r w:rsidR="00E93FD8">
          <w:rPr>
            <w:noProof/>
            <w:webHidden/>
          </w:rPr>
          <w:fldChar w:fldCharType="begin"/>
        </w:r>
        <w:r w:rsidR="00E93FD8">
          <w:rPr>
            <w:noProof/>
            <w:webHidden/>
          </w:rPr>
          <w:instrText xml:space="preserve"> PAGEREF _Toc81751998 \h </w:instrText>
        </w:r>
        <w:r w:rsidR="00E93FD8">
          <w:rPr>
            <w:noProof/>
            <w:webHidden/>
          </w:rPr>
        </w:r>
        <w:r w:rsidR="00E93FD8">
          <w:rPr>
            <w:noProof/>
            <w:webHidden/>
          </w:rPr>
          <w:fldChar w:fldCharType="separate"/>
        </w:r>
        <w:r w:rsidR="00E93FD8">
          <w:rPr>
            <w:noProof/>
            <w:webHidden/>
          </w:rPr>
          <w:t>24</w:t>
        </w:r>
        <w:r w:rsidR="00E93FD8">
          <w:rPr>
            <w:noProof/>
            <w:webHidden/>
          </w:rPr>
          <w:fldChar w:fldCharType="end"/>
        </w:r>
      </w:hyperlink>
    </w:p>
    <w:p w14:paraId="1DF4B7DB" w14:textId="12897746" w:rsidR="00E93FD8" w:rsidRDefault="00C534D0" w:rsidP="00E93FD8">
      <w:pPr>
        <w:pStyle w:val="Obsah4"/>
        <w:tabs>
          <w:tab w:val="left" w:pos="1920"/>
          <w:tab w:val="right" w:leader="dot" w:pos="9016"/>
        </w:tabs>
        <w:ind w:left="1134" w:hanging="992"/>
        <w:rPr>
          <w:rFonts w:asciiTheme="minorHAnsi" w:eastAsiaTheme="minorEastAsia" w:hAnsiTheme="minorHAnsi"/>
          <w:noProof/>
          <w:sz w:val="24"/>
          <w:szCs w:val="24"/>
          <w:lang w:val="cs-CZ" w:eastAsia="cs-CZ"/>
        </w:rPr>
      </w:pPr>
      <w:hyperlink w:anchor="_Toc81751999" w:history="1">
        <w:r w:rsidR="00E93FD8" w:rsidRPr="006F0343">
          <w:rPr>
            <w:rStyle w:val="Hypertextovodkaz"/>
            <w:noProof/>
          </w:rPr>
          <w:t>Tabulka 4</w:t>
        </w:r>
        <w:r w:rsidR="00E93FD8">
          <w:rPr>
            <w:rFonts w:asciiTheme="minorHAnsi" w:eastAsiaTheme="minorEastAsia" w:hAnsiTheme="minorHAnsi"/>
            <w:noProof/>
            <w:sz w:val="24"/>
            <w:szCs w:val="24"/>
            <w:lang w:val="cs-CZ" w:eastAsia="cs-CZ"/>
          </w:rPr>
          <w:tab/>
        </w:r>
        <w:r w:rsidR="00E93FD8" w:rsidRPr="006F0343">
          <w:rPr>
            <w:rStyle w:val="Hypertextovodkaz"/>
            <w:noProof/>
          </w:rPr>
          <w:t>Statistika z žádostí o dotaci na podporu mladých zemědělců</w:t>
        </w:r>
        <w:r w:rsidR="00E93FD8">
          <w:rPr>
            <w:noProof/>
            <w:webHidden/>
          </w:rPr>
          <w:tab/>
        </w:r>
        <w:r w:rsidR="00E93FD8">
          <w:rPr>
            <w:noProof/>
            <w:webHidden/>
          </w:rPr>
          <w:fldChar w:fldCharType="begin"/>
        </w:r>
        <w:r w:rsidR="00E93FD8">
          <w:rPr>
            <w:noProof/>
            <w:webHidden/>
          </w:rPr>
          <w:instrText xml:space="preserve"> PAGEREF _Toc81751999 \h </w:instrText>
        </w:r>
        <w:r w:rsidR="00E93FD8">
          <w:rPr>
            <w:noProof/>
            <w:webHidden/>
          </w:rPr>
        </w:r>
        <w:r w:rsidR="00E93FD8">
          <w:rPr>
            <w:noProof/>
            <w:webHidden/>
          </w:rPr>
          <w:fldChar w:fldCharType="separate"/>
        </w:r>
        <w:r w:rsidR="00E93FD8">
          <w:rPr>
            <w:noProof/>
            <w:webHidden/>
          </w:rPr>
          <w:t>29</w:t>
        </w:r>
        <w:r w:rsidR="00E93FD8">
          <w:rPr>
            <w:noProof/>
            <w:webHidden/>
          </w:rPr>
          <w:fldChar w:fldCharType="end"/>
        </w:r>
      </w:hyperlink>
    </w:p>
    <w:p w14:paraId="503E1610" w14:textId="3BB449D8" w:rsidR="00E93FD8" w:rsidRDefault="00C534D0" w:rsidP="00E93FD8">
      <w:pPr>
        <w:pStyle w:val="Obsah4"/>
        <w:tabs>
          <w:tab w:val="left" w:pos="1920"/>
          <w:tab w:val="right" w:leader="dot" w:pos="9016"/>
        </w:tabs>
        <w:ind w:left="1134" w:hanging="992"/>
        <w:rPr>
          <w:rFonts w:asciiTheme="minorHAnsi" w:eastAsiaTheme="minorEastAsia" w:hAnsiTheme="minorHAnsi"/>
          <w:noProof/>
          <w:sz w:val="24"/>
          <w:szCs w:val="24"/>
          <w:lang w:val="cs-CZ" w:eastAsia="cs-CZ"/>
        </w:rPr>
      </w:pPr>
      <w:hyperlink w:anchor="_Toc81752000" w:history="1">
        <w:r w:rsidR="00E93FD8" w:rsidRPr="006F0343">
          <w:rPr>
            <w:rStyle w:val="Hypertextovodkaz"/>
            <w:noProof/>
          </w:rPr>
          <w:t>Tabulka 5</w:t>
        </w:r>
        <w:r w:rsidR="00E93FD8">
          <w:rPr>
            <w:rFonts w:asciiTheme="minorHAnsi" w:eastAsiaTheme="minorEastAsia" w:hAnsiTheme="minorHAnsi"/>
            <w:noProof/>
            <w:sz w:val="24"/>
            <w:szCs w:val="24"/>
            <w:lang w:val="cs-CZ" w:eastAsia="cs-CZ"/>
          </w:rPr>
          <w:tab/>
        </w:r>
        <w:r w:rsidR="00E93FD8" w:rsidRPr="006F0343">
          <w:rPr>
            <w:rStyle w:val="Hypertextovodkaz"/>
            <w:noProof/>
          </w:rPr>
          <w:t>Poskytnuté podpory úroků z úvěrů: Program Zemědělec – Stav žádostí pouze v režimu mladý zemědělec k 31. 12. 2017</w:t>
        </w:r>
        <w:r w:rsidR="00E93FD8">
          <w:rPr>
            <w:noProof/>
            <w:webHidden/>
          </w:rPr>
          <w:tab/>
        </w:r>
        <w:r w:rsidR="00E93FD8">
          <w:rPr>
            <w:noProof/>
            <w:webHidden/>
          </w:rPr>
          <w:fldChar w:fldCharType="begin"/>
        </w:r>
        <w:r w:rsidR="00E93FD8">
          <w:rPr>
            <w:noProof/>
            <w:webHidden/>
          </w:rPr>
          <w:instrText xml:space="preserve"> PAGEREF _Toc81752000 \h </w:instrText>
        </w:r>
        <w:r w:rsidR="00E93FD8">
          <w:rPr>
            <w:noProof/>
            <w:webHidden/>
          </w:rPr>
        </w:r>
        <w:r w:rsidR="00E93FD8">
          <w:rPr>
            <w:noProof/>
            <w:webHidden/>
          </w:rPr>
          <w:fldChar w:fldCharType="separate"/>
        </w:r>
        <w:r w:rsidR="00E93FD8">
          <w:rPr>
            <w:noProof/>
            <w:webHidden/>
          </w:rPr>
          <w:t>33</w:t>
        </w:r>
        <w:r w:rsidR="00E93FD8">
          <w:rPr>
            <w:noProof/>
            <w:webHidden/>
          </w:rPr>
          <w:fldChar w:fldCharType="end"/>
        </w:r>
      </w:hyperlink>
    </w:p>
    <w:p w14:paraId="78E144EB" w14:textId="55082710" w:rsidR="00E93FD8" w:rsidRDefault="00C534D0" w:rsidP="00E93FD8">
      <w:pPr>
        <w:pStyle w:val="Obsah4"/>
        <w:tabs>
          <w:tab w:val="left" w:pos="1920"/>
          <w:tab w:val="right" w:leader="dot" w:pos="9016"/>
        </w:tabs>
        <w:ind w:left="1134" w:hanging="992"/>
        <w:rPr>
          <w:rFonts w:asciiTheme="minorHAnsi" w:eastAsiaTheme="minorEastAsia" w:hAnsiTheme="minorHAnsi"/>
          <w:noProof/>
          <w:sz w:val="24"/>
          <w:szCs w:val="24"/>
          <w:lang w:val="cs-CZ" w:eastAsia="cs-CZ"/>
        </w:rPr>
      </w:pPr>
      <w:hyperlink w:anchor="_Toc81752001" w:history="1">
        <w:r w:rsidR="00E93FD8" w:rsidRPr="006F0343">
          <w:rPr>
            <w:rStyle w:val="Hypertextovodkaz"/>
            <w:noProof/>
          </w:rPr>
          <w:t>Tabulka 6</w:t>
        </w:r>
        <w:r w:rsidR="00E93FD8">
          <w:rPr>
            <w:rFonts w:asciiTheme="minorHAnsi" w:eastAsiaTheme="minorEastAsia" w:hAnsiTheme="minorHAnsi"/>
            <w:noProof/>
            <w:sz w:val="24"/>
            <w:szCs w:val="24"/>
            <w:lang w:val="cs-CZ" w:eastAsia="cs-CZ"/>
          </w:rPr>
          <w:tab/>
        </w:r>
        <w:r w:rsidR="00E93FD8" w:rsidRPr="006F0343">
          <w:rPr>
            <w:rStyle w:val="Hypertextovodkaz"/>
            <w:noProof/>
          </w:rPr>
          <w:t>Poskytnuté půjčky a úvěry – statistiky podle roků (údaje v tis. Kč)</w:t>
        </w:r>
        <w:r w:rsidR="00E93FD8">
          <w:rPr>
            <w:noProof/>
            <w:webHidden/>
          </w:rPr>
          <w:tab/>
        </w:r>
        <w:r w:rsidR="00E93FD8">
          <w:rPr>
            <w:noProof/>
            <w:webHidden/>
          </w:rPr>
          <w:fldChar w:fldCharType="begin"/>
        </w:r>
        <w:r w:rsidR="00E93FD8">
          <w:rPr>
            <w:noProof/>
            <w:webHidden/>
          </w:rPr>
          <w:instrText xml:space="preserve"> PAGEREF _Toc81752001 \h </w:instrText>
        </w:r>
        <w:r w:rsidR="00E93FD8">
          <w:rPr>
            <w:noProof/>
            <w:webHidden/>
          </w:rPr>
        </w:r>
        <w:r w:rsidR="00E93FD8">
          <w:rPr>
            <w:noProof/>
            <w:webHidden/>
          </w:rPr>
          <w:fldChar w:fldCharType="separate"/>
        </w:r>
        <w:r w:rsidR="00E93FD8">
          <w:rPr>
            <w:noProof/>
            <w:webHidden/>
          </w:rPr>
          <w:t>34</w:t>
        </w:r>
        <w:r w:rsidR="00E93FD8">
          <w:rPr>
            <w:noProof/>
            <w:webHidden/>
          </w:rPr>
          <w:fldChar w:fldCharType="end"/>
        </w:r>
      </w:hyperlink>
    </w:p>
    <w:p w14:paraId="21F49761" w14:textId="751DD4CB" w:rsidR="00856E96" w:rsidRPr="002A021F" w:rsidRDefault="00E93FD8" w:rsidP="00E93FD8">
      <w:pPr>
        <w:ind w:left="1134" w:hanging="992"/>
        <w:rPr>
          <w:b/>
          <w:bCs/>
          <w:lang w:val="cs-CZ"/>
        </w:rPr>
      </w:pPr>
      <w:r>
        <w:rPr>
          <w:b/>
          <w:bCs/>
          <w:smallCaps/>
          <w:sz w:val="20"/>
          <w:szCs w:val="20"/>
          <w:lang w:val="cs-CZ"/>
        </w:rPr>
        <w:fldChar w:fldCharType="end"/>
      </w:r>
    </w:p>
    <w:p w14:paraId="1108A035" w14:textId="3B4B6720" w:rsidR="00C80140" w:rsidRDefault="00E93FD8" w:rsidP="009169B4">
      <w:pPr>
        <w:pStyle w:val="UZEINadpis1stbezsla"/>
      </w:pPr>
      <w:bookmarkStart w:id="2" w:name="_Toc81752166"/>
      <w:r>
        <w:t>Seznam grafů</w:t>
      </w:r>
      <w:bookmarkEnd w:id="2"/>
    </w:p>
    <w:p w14:paraId="09ABF050" w14:textId="50F924DF" w:rsidR="00951830" w:rsidRDefault="00E93FD8" w:rsidP="00951830">
      <w:pPr>
        <w:pStyle w:val="Obsah4"/>
        <w:tabs>
          <w:tab w:val="left" w:pos="1680"/>
          <w:tab w:val="right" w:leader="dot" w:pos="9016"/>
        </w:tabs>
        <w:ind w:left="851" w:hanging="709"/>
        <w:rPr>
          <w:rFonts w:asciiTheme="minorHAnsi" w:eastAsiaTheme="minorEastAsia" w:hAnsiTheme="minorHAnsi"/>
          <w:noProof/>
          <w:sz w:val="24"/>
          <w:szCs w:val="24"/>
          <w:lang w:val="cs-CZ" w:eastAsia="cs-CZ"/>
        </w:rPr>
      </w:pPr>
      <w:r>
        <w:rPr>
          <w:b/>
          <w:bCs/>
          <w:smallCaps/>
          <w:szCs w:val="20"/>
          <w:lang w:val="cs-CZ"/>
        </w:rPr>
        <w:fldChar w:fldCharType="begin"/>
      </w:r>
      <w:r>
        <w:rPr>
          <w:b/>
          <w:bCs/>
          <w:smallCaps/>
          <w:szCs w:val="20"/>
          <w:lang w:val="cs-CZ"/>
        </w:rPr>
        <w:instrText xml:space="preserve"> TOC \h \z \t "UZEI Graf;4" </w:instrText>
      </w:r>
      <w:r>
        <w:rPr>
          <w:b/>
          <w:bCs/>
          <w:smallCaps/>
          <w:szCs w:val="20"/>
          <w:lang w:val="cs-CZ"/>
        </w:rPr>
        <w:fldChar w:fldCharType="separate"/>
      </w:r>
      <w:hyperlink w:anchor="_Toc81752397" w:history="1">
        <w:r w:rsidR="00951830" w:rsidRPr="008419C0">
          <w:rPr>
            <w:rStyle w:val="Hypertextovodkaz"/>
            <w:noProof/>
          </w:rPr>
          <w:t>Graf 1</w:t>
        </w:r>
        <w:r w:rsidR="00951830">
          <w:rPr>
            <w:rFonts w:asciiTheme="minorHAnsi" w:eastAsiaTheme="minorEastAsia" w:hAnsiTheme="minorHAnsi"/>
            <w:noProof/>
            <w:sz w:val="24"/>
            <w:szCs w:val="24"/>
            <w:lang w:val="cs-CZ" w:eastAsia="cs-CZ"/>
          </w:rPr>
          <w:tab/>
        </w:r>
        <w:r w:rsidR="00951830" w:rsidRPr="008419C0">
          <w:rPr>
            <w:rStyle w:val="Hypertextovodkaz"/>
            <w:noProof/>
          </w:rPr>
          <w:t>Důchod ze zemědělské činnosti u různě velikých skupin podniků FO dle SO (v Kč/ha – vlevo a v Kč/FWU – vpravo)</w:t>
        </w:r>
        <w:r w:rsidR="00951830">
          <w:rPr>
            <w:noProof/>
            <w:webHidden/>
          </w:rPr>
          <w:tab/>
        </w:r>
        <w:r w:rsidR="00951830">
          <w:rPr>
            <w:noProof/>
            <w:webHidden/>
          </w:rPr>
          <w:fldChar w:fldCharType="begin"/>
        </w:r>
        <w:r w:rsidR="00951830">
          <w:rPr>
            <w:noProof/>
            <w:webHidden/>
          </w:rPr>
          <w:instrText xml:space="preserve"> PAGEREF _Toc81752397 \h </w:instrText>
        </w:r>
        <w:r w:rsidR="00951830">
          <w:rPr>
            <w:noProof/>
            <w:webHidden/>
          </w:rPr>
        </w:r>
        <w:r w:rsidR="00951830">
          <w:rPr>
            <w:noProof/>
            <w:webHidden/>
          </w:rPr>
          <w:fldChar w:fldCharType="separate"/>
        </w:r>
        <w:r w:rsidR="00951830">
          <w:rPr>
            <w:noProof/>
            <w:webHidden/>
          </w:rPr>
          <w:t>16</w:t>
        </w:r>
        <w:r w:rsidR="00951830">
          <w:rPr>
            <w:noProof/>
            <w:webHidden/>
          </w:rPr>
          <w:fldChar w:fldCharType="end"/>
        </w:r>
      </w:hyperlink>
    </w:p>
    <w:p w14:paraId="242EF346" w14:textId="358CF66C" w:rsidR="00951830" w:rsidRDefault="00C534D0" w:rsidP="00951830">
      <w:pPr>
        <w:pStyle w:val="Obsah4"/>
        <w:tabs>
          <w:tab w:val="left" w:pos="1680"/>
          <w:tab w:val="right" w:leader="dot" w:pos="9016"/>
        </w:tabs>
        <w:ind w:left="851" w:hanging="709"/>
        <w:rPr>
          <w:rFonts w:asciiTheme="minorHAnsi" w:eastAsiaTheme="minorEastAsia" w:hAnsiTheme="minorHAnsi"/>
          <w:noProof/>
          <w:sz w:val="24"/>
          <w:szCs w:val="24"/>
          <w:lang w:val="cs-CZ" w:eastAsia="cs-CZ"/>
        </w:rPr>
      </w:pPr>
      <w:hyperlink w:anchor="_Toc81752398" w:history="1">
        <w:r w:rsidR="00951830" w:rsidRPr="008419C0">
          <w:rPr>
            <w:rStyle w:val="Hypertextovodkaz"/>
            <w:noProof/>
          </w:rPr>
          <w:t>Graf 2</w:t>
        </w:r>
        <w:r w:rsidR="00951830">
          <w:rPr>
            <w:rFonts w:asciiTheme="minorHAnsi" w:eastAsiaTheme="minorEastAsia" w:hAnsiTheme="minorHAnsi"/>
            <w:noProof/>
            <w:sz w:val="24"/>
            <w:szCs w:val="24"/>
            <w:lang w:val="cs-CZ" w:eastAsia="cs-CZ"/>
          </w:rPr>
          <w:tab/>
        </w:r>
        <w:r w:rsidR="00951830" w:rsidRPr="008419C0">
          <w:rPr>
            <w:rStyle w:val="Hypertextovodkaz"/>
            <w:noProof/>
          </w:rPr>
          <w:t>Důchod ze zemědělské činnosti u skupiny malých dle SO a dle výrobního zaměření (v Kč/ha)</w:t>
        </w:r>
        <w:r w:rsidR="00951830">
          <w:rPr>
            <w:noProof/>
            <w:webHidden/>
          </w:rPr>
          <w:tab/>
        </w:r>
        <w:r w:rsidR="00951830">
          <w:rPr>
            <w:noProof/>
            <w:webHidden/>
          </w:rPr>
          <w:fldChar w:fldCharType="begin"/>
        </w:r>
        <w:r w:rsidR="00951830">
          <w:rPr>
            <w:noProof/>
            <w:webHidden/>
          </w:rPr>
          <w:instrText xml:space="preserve"> PAGEREF _Toc81752398 \h </w:instrText>
        </w:r>
        <w:r w:rsidR="00951830">
          <w:rPr>
            <w:noProof/>
            <w:webHidden/>
          </w:rPr>
        </w:r>
        <w:r w:rsidR="00951830">
          <w:rPr>
            <w:noProof/>
            <w:webHidden/>
          </w:rPr>
          <w:fldChar w:fldCharType="separate"/>
        </w:r>
        <w:r w:rsidR="00951830">
          <w:rPr>
            <w:noProof/>
            <w:webHidden/>
          </w:rPr>
          <w:t>17</w:t>
        </w:r>
        <w:r w:rsidR="00951830">
          <w:rPr>
            <w:noProof/>
            <w:webHidden/>
          </w:rPr>
          <w:fldChar w:fldCharType="end"/>
        </w:r>
      </w:hyperlink>
    </w:p>
    <w:p w14:paraId="38377F79" w14:textId="41C66EB8" w:rsidR="00951830" w:rsidRDefault="00C534D0" w:rsidP="00951830">
      <w:pPr>
        <w:pStyle w:val="Obsah4"/>
        <w:tabs>
          <w:tab w:val="left" w:pos="1680"/>
          <w:tab w:val="right" w:leader="dot" w:pos="9016"/>
        </w:tabs>
        <w:ind w:left="851" w:hanging="709"/>
        <w:rPr>
          <w:rFonts w:asciiTheme="minorHAnsi" w:eastAsiaTheme="minorEastAsia" w:hAnsiTheme="minorHAnsi"/>
          <w:noProof/>
          <w:sz w:val="24"/>
          <w:szCs w:val="24"/>
          <w:lang w:val="cs-CZ" w:eastAsia="cs-CZ"/>
        </w:rPr>
      </w:pPr>
      <w:hyperlink w:anchor="_Toc81752399" w:history="1">
        <w:r w:rsidR="00951830" w:rsidRPr="008419C0">
          <w:rPr>
            <w:rStyle w:val="Hypertextovodkaz"/>
            <w:bCs/>
            <w:noProof/>
          </w:rPr>
          <w:t>Graf 3</w:t>
        </w:r>
        <w:r w:rsidR="00951830">
          <w:rPr>
            <w:rFonts w:asciiTheme="minorHAnsi" w:eastAsiaTheme="minorEastAsia" w:hAnsiTheme="minorHAnsi"/>
            <w:noProof/>
            <w:sz w:val="24"/>
            <w:szCs w:val="24"/>
            <w:lang w:val="cs-CZ" w:eastAsia="cs-CZ"/>
          </w:rPr>
          <w:tab/>
        </w:r>
        <w:r w:rsidR="00951830" w:rsidRPr="008419C0">
          <w:rPr>
            <w:rStyle w:val="Hypertextovodkaz"/>
            <w:noProof/>
          </w:rPr>
          <w:t>Důchod ze zemědělské činnosti u skupiny malých dle SO a dle výrobního zaměření (v Kč/FWU)</w:t>
        </w:r>
        <w:r w:rsidR="00951830">
          <w:rPr>
            <w:noProof/>
            <w:webHidden/>
          </w:rPr>
          <w:tab/>
        </w:r>
        <w:r w:rsidR="00951830">
          <w:rPr>
            <w:noProof/>
            <w:webHidden/>
          </w:rPr>
          <w:fldChar w:fldCharType="begin"/>
        </w:r>
        <w:r w:rsidR="00951830">
          <w:rPr>
            <w:noProof/>
            <w:webHidden/>
          </w:rPr>
          <w:instrText xml:space="preserve"> PAGEREF _Toc81752399 \h </w:instrText>
        </w:r>
        <w:r w:rsidR="00951830">
          <w:rPr>
            <w:noProof/>
            <w:webHidden/>
          </w:rPr>
        </w:r>
        <w:r w:rsidR="00951830">
          <w:rPr>
            <w:noProof/>
            <w:webHidden/>
          </w:rPr>
          <w:fldChar w:fldCharType="separate"/>
        </w:r>
        <w:r w:rsidR="00951830">
          <w:rPr>
            <w:noProof/>
            <w:webHidden/>
          </w:rPr>
          <w:t>17</w:t>
        </w:r>
        <w:r w:rsidR="00951830">
          <w:rPr>
            <w:noProof/>
            <w:webHidden/>
          </w:rPr>
          <w:fldChar w:fldCharType="end"/>
        </w:r>
      </w:hyperlink>
    </w:p>
    <w:p w14:paraId="442223E4" w14:textId="6E0B9F01" w:rsidR="00951830" w:rsidRDefault="00C534D0" w:rsidP="00951830">
      <w:pPr>
        <w:pStyle w:val="Obsah4"/>
        <w:tabs>
          <w:tab w:val="left" w:pos="1680"/>
          <w:tab w:val="right" w:leader="dot" w:pos="9016"/>
        </w:tabs>
        <w:ind w:left="851" w:hanging="709"/>
        <w:rPr>
          <w:rFonts w:asciiTheme="minorHAnsi" w:eastAsiaTheme="minorEastAsia" w:hAnsiTheme="minorHAnsi"/>
          <w:noProof/>
          <w:sz w:val="24"/>
          <w:szCs w:val="24"/>
          <w:lang w:val="cs-CZ" w:eastAsia="cs-CZ"/>
        </w:rPr>
      </w:pPr>
      <w:hyperlink w:anchor="_Toc81752400" w:history="1">
        <w:r w:rsidR="00951830" w:rsidRPr="008419C0">
          <w:rPr>
            <w:rStyle w:val="Hypertextovodkaz"/>
            <w:noProof/>
          </w:rPr>
          <w:t>Graf 4</w:t>
        </w:r>
        <w:r w:rsidR="00951830">
          <w:rPr>
            <w:rFonts w:asciiTheme="minorHAnsi" w:eastAsiaTheme="minorEastAsia" w:hAnsiTheme="minorHAnsi"/>
            <w:noProof/>
            <w:sz w:val="24"/>
            <w:szCs w:val="24"/>
            <w:lang w:val="cs-CZ" w:eastAsia="cs-CZ"/>
          </w:rPr>
          <w:tab/>
        </w:r>
        <w:r w:rsidR="00951830" w:rsidRPr="008419C0">
          <w:rPr>
            <w:rStyle w:val="Hypertextovodkaz"/>
            <w:noProof/>
          </w:rPr>
          <w:t>Program Zemědělec PGRLF – Tržní úrokové a dotované sazby mladých a ostatních zemědělců k 31. 12. 2017 (v %)</w:t>
        </w:r>
        <w:r w:rsidR="00951830">
          <w:rPr>
            <w:noProof/>
            <w:webHidden/>
          </w:rPr>
          <w:tab/>
        </w:r>
        <w:r w:rsidR="00951830">
          <w:rPr>
            <w:noProof/>
            <w:webHidden/>
          </w:rPr>
          <w:fldChar w:fldCharType="begin"/>
        </w:r>
        <w:r w:rsidR="00951830">
          <w:rPr>
            <w:noProof/>
            <w:webHidden/>
          </w:rPr>
          <w:instrText xml:space="preserve"> PAGEREF _Toc81752400 \h </w:instrText>
        </w:r>
        <w:r w:rsidR="00951830">
          <w:rPr>
            <w:noProof/>
            <w:webHidden/>
          </w:rPr>
        </w:r>
        <w:r w:rsidR="00951830">
          <w:rPr>
            <w:noProof/>
            <w:webHidden/>
          </w:rPr>
          <w:fldChar w:fldCharType="separate"/>
        </w:r>
        <w:r w:rsidR="00951830">
          <w:rPr>
            <w:noProof/>
            <w:webHidden/>
          </w:rPr>
          <w:t>20</w:t>
        </w:r>
        <w:r w:rsidR="00951830">
          <w:rPr>
            <w:noProof/>
            <w:webHidden/>
          </w:rPr>
          <w:fldChar w:fldCharType="end"/>
        </w:r>
      </w:hyperlink>
    </w:p>
    <w:p w14:paraId="44A30193" w14:textId="6CC7C0FC" w:rsidR="006826AD" w:rsidRDefault="00E93FD8" w:rsidP="00951830">
      <w:pPr>
        <w:ind w:left="851" w:hanging="709"/>
        <w:rPr>
          <w:b/>
          <w:bCs/>
          <w:lang w:val="cs-CZ"/>
        </w:rPr>
      </w:pPr>
      <w:r>
        <w:rPr>
          <w:b/>
          <w:bCs/>
          <w:smallCaps/>
          <w:sz w:val="20"/>
          <w:szCs w:val="20"/>
          <w:lang w:val="cs-CZ"/>
        </w:rPr>
        <w:fldChar w:fldCharType="end"/>
      </w:r>
    </w:p>
    <w:p w14:paraId="71179427" w14:textId="7857315B" w:rsidR="00C80140" w:rsidRPr="006C247D" w:rsidRDefault="00C80140" w:rsidP="001335A6">
      <w:pPr>
        <w:rPr>
          <w:b/>
          <w:bCs/>
          <w:sz w:val="20"/>
          <w:lang w:val="cs-CZ"/>
        </w:rPr>
      </w:pPr>
    </w:p>
    <w:p w14:paraId="33AF406F" w14:textId="77777777" w:rsidR="00660D6A" w:rsidRDefault="00660D6A" w:rsidP="0003417E">
      <w:pPr>
        <w:spacing w:after="160" w:line="259" w:lineRule="auto"/>
        <w:jc w:val="left"/>
        <w:rPr>
          <w:b/>
          <w:bCs/>
          <w:lang w:val="cs-CZ"/>
        </w:rPr>
      </w:pPr>
      <w:r>
        <w:rPr>
          <w:b/>
          <w:bCs/>
          <w:lang w:val="cs-CZ"/>
        </w:rPr>
        <w:br w:type="page"/>
      </w:r>
    </w:p>
    <w:p w14:paraId="0D276156" w14:textId="5D41D7D9" w:rsidR="00C32436" w:rsidRPr="002B7246" w:rsidRDefault="00C32436" w:rsidP="001335A6">
      <w:pPr>
        <w:rPr>
          <w:b/>
          <w:bCs/>
          <w:sz w:val="28"/>
          <w:szCs w:val="28"/>
          <w:lang w:val="cs-CZ"/>
        </w:rPr>
      </w:pPr>
      <w:r w:rsidRPr="002B7246">
        <w:rPr>
          <w:b/>
          <w:bCs/>
          <w:sz w:val="28"/>
          <w:szCs w:val="28"/>
          <w:lang w:val="cs-CZ"/>
        </w:rPr>
        <w:lastRenderedPageBreak/>
        <w:t>O</w:t>
      </w:r>
      <w:r w:rsidR="00C0297C">
        <w:rPr>
          <w:b/>
          <w:bCs/>
          <w:sz w:val="28"/>
          <w:szCs w:val="28"/>
          <w:lang w:val="cs-CZ"/>
        </w:rPr>
        <w:t>bsah</w:t>
      </w:r>
    </w:p>
    <w:bookmarkEnd w:id="0" w:displacedByCustomXml="next"/>
    <w:sdt>
      <w:sdtPr>
        <w:rPr>
          <w:sz w:val="20"/>
          <w:lang w:val="cs-CZ"/>
        </w:rPr>
        <w:id w:val="1850296126"/>
        <w:docPartObj>
          <w:docPartGallery w:val="Table of Contents"/>
          <w:docPartUnique/>
        </w:docPartObj>
      </w:sdtPr>
      <w:sdtEndPr>
        <w:rPr>
          <w:rFonts w:cs="Times New Roman"/>
          <w:b/>
          <w:bCs/>
        </w:rPr>
      </w:sdtEndPr>
      <w:sdtContent>
        <w:p w14:paraId="42B7D531" w14:textId="77777777" w:rsidR="0000288B" w:rsidRPr="00E34AE4" w:rsidRDefault="0000288B" w:rsidP="00A56BB6">
          <w:pPr>
            <w:rPr>
              <w:sz w:val="20"/>
              <w:szCs w:val="20"/>
              <w:lang w:val="cs-CZ"/>
            </w:rPr>
          </w:pPr>
        </w:p>
        <w:p w14:paraId="4223EBBC" w14:textId="312774EE" w:rsidR="00C0297C" w:rsidRDefault="0000288B">
          <w:pPr>
            <w:pStyle w:val="Obsah1"/>
            <w:rPr>
              <w:rFonts w:asciiTheme="minorHAnsi" w:eastAsiaTheme="minorEastAsia" w:hAnsiTheme="minorHAnsi"/>
              <w:b w:val="0"/>
              <w:bCs w:val="0"/>
              <w:caps w:val="0"/>
              <w:noProof/>
              <w:sz w:val="24"/>
              <w:szCs w:val="24"/>
              <w:lang w:val="cs-CZ" w:eastAsia="cs-CZ"/>
            </w:rPr>
          </w:pPr>
          <w:r w:rsidRPr="002B7246">
            <w:rPr>
              <w:rFonts w:cs="Times New Roman"/>
              <w:lang w:val="cs-CZ"/>
            </w:rPr>
            <w:fldChar w:fldCharType="begin"/>
          </w:r>
          <w:r w:rsidRPr="002B7246">
            <w:rPr>
              <w:rFonts w:cs="Times New Roman"/>
              <w:lang w:val="cs-CZ"/>
            </w:rPr>
            <w:instrText xml:space="preserve"> TOC \o "1-3" \h \z \u </w:instrText>
          </w:r>
          <w:r w:rsidRPr="002B7246">
            <w:rPr>
              <w:rFonts w:cs="Times New Roman"/>
              <w:lang w:val="cs-CZ"/>
            </w:rPr>
            <w:fldChar w:fldCharType="separate"/>
          </w:r>
          <w:hyperlink w:anchor="_Toc81752165" w:history="1">
            <w:r w:rsidR="00C0297C" w:rsidRPr="00F203CD">
              <w:rPr>
                <w:rStyle w:val="Hypertextovodkaz"/>
                <w:noProof/>
              </w:rPr>
              <w:t>Seznam tabulek</w:t>
            </w:r>
            <w:r w:rsidR="00C0297C">
              <w:rPr>
                <w:noProof/>
                <w:webHidden/>
              </w:rPr>
              <w:tab/>
            </w:r>
            <w:r w:rsidR="00C0297C">
              <w:rPr>
                <w:noProof/>
                <w:webHidden/>
              </w:rPr>
              <w:fldChar w:fldCharType="begin"/>
            </w:r>
            <w:r w:rsidR="00C0297C">
              <w:rPr>
                <w:noProof/>
                <w:webHidden/>
              </w:rPr>
              <w:instrText xml:space="preserve"> PAGEREF _Toc81752165 \h </w:instrText>
            </w:r>
            <w:r w:rsidR="00C0297C">
              <w:rPr>
                <w:noProof/>
                <w:webHidden/>
              </w:rPr>
            </w:r>
            <w:r w:rsidR="00C0297C">
              <w:rPr>
                <w:noProof/>
                <w:webHidden/>
              </w:rPr>
              <w:fldChar w:fldCharType="separate"/>
            </w:r>
            <w:r w:rsidR="00C0297C">
              <w:rPr>
                <w:noProof/>
                <w:webHidden/>
              </w:rPr>
              <w:t>2</w:t>
            </w:r>
            <w:r w:rsidR="00C0297C">
              <w:rPr>
                <w:noProof/>
                <w:webHidden/>
              </w:rPr>
              <w:fldChar w:fldCharType="end"/>
            </w:r>
          </w:hyperlink>
        </w:p>
        <w:p w14:paraId="771765F5" w14:textId="20B70AA6" w:rsidR="00C0297C" w:rsidRDefault="00C534D0">
          <w:pPr>
            <w:pStyle w:val="Obsah1"/>
            <w:rPr>
              <w:rFonts w:asciiTheme="minorHAnsi" w:eastAsiaTheme="minorEastAsia" w:hAnsiTheme="minorHAnsi"/>
              <w:b w:val="0"/>
              <w:bCs w:val="0"/>
              <w:caps w:val="0"/>
              <w:noProof/>
              <w:sz w:val="24"/>
              <w:szCs w:val="24"/>
              <w:lang w:val="cs-CZ" w:eastAsia="cs-CZ"/>
            </w:rPr>
          </w:pPr>
          <w:hyperlink w:anchor="_Toc81752166" w:history="1">
            <w:r w:rsidR="00C0297C" w:rsidRPr="00F203CD">
              <w:rPr>
                <w:rStyle w:val="Hypertextovodkaz"/>
                <w:noProof/>
              </w:rPr>
              <w:t>Seznam grafů</w:t>
            </w:r>
            <w:r w:rsidR="00C0297C">
              <w:rPr>
                <w:noProof/>
                <w:webHidden/>
              </w:rPr>
              <w:tab/>
            </w:r>
            <w:r w:rsidR="00C0297C">
              <w:rPr>
                <w:noProof/>
                <w:webHidden/>
              </w:rPr>
              <w:fldChar w:fldCharType="begin"/>
            </w:r>
            <w:r w:rsidR="00C0297C">
              <w:rPr>
                <w:noProof/>
                <w:webHidden/>
              </w:rPr>
              <w:instrText xml:space="preserve"> PAGEREF _Toc81752166 \h </w:instrText>
            </w:r>
            <w:r w:rsidR="00C0297C">
              <w:rPr>
                <w:noProof/>
                <w:webHidden/>
              </w:rPr>
            </w:r>
            <w:r w:rsidR="00C0297C">
              <w:rPr>
                <w:noProof/>
                <w:webHidden/>
              </w:rPr>
              <w:fldChar w:fldCharType="separate"/>
            </w:r>
            <w:r w:rsidR="00C0297C">
              <w:rPr>
                <w:noProof/>
                <w:webHidden/>
              </w:rPr>
              <w:t>2</w:t>
            </w:r>
            <w:r w:rsidR="00C0297C">
              <w:rPr>
                <w:noProof/>
                <w:webHidden/>
              </w:rPr>
              <w:fldChar w:fldCharType="end"/>
            </w:r>
          </w:hyperlink>
        </w:p>
        <w:p w14:paraId="57AF5FF7" w14:textId="78B529DB"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167" w:history="1">
            <w:r w:rsidR="00C0297C" w:rsidRPr="00F203CD">
              <w:rPr>
                <w:rStyle w:val="Hypertextovodkaz"/>
                <w:noProof/>
              </w:rPr>
              <w:t>1</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Analýza navrhovaných právních předpisů EK / ČR a pravděpodobné nastavení směrů a cílů SZP</w:t>
            </w:r>
            <w:r w:rsidR="00C0297C">
              <w:rPr>
                <w:noProof/>
                <w:webHidden/>
              </w:rPr>
              <w:tab/>
            </w:r>
            <w:r w:rsidR="00C0297C">
              <w:rPr>
                <w:noProof/>
                <w:webHidden/>
              </w:rPr>
              <w:fldChar w:fldCharType="begin"/>
            </w:r>
            <w:r w:rsidR="00C0297C">
              <w:rPr>
                <w:noProof/>
                <w:webHidden/>
              </w:rPr>
              <w:instrText xml:space="preserve"> PAGEREF _Toc81752167 \h </w:instrText>
            </w:r>
            <w:r w:rsidR="00C0297C">
              <w:rPr>
                <w:noProof/>
                <w:webHidden/>
              </w:rPr>
            </w:r>
            <w:r w:rsidR="00C0297C">
              <w:rPr>
                <w:noProof/>
                <w:webHidden/>
              </w:rPr>
              <w:fldChar w:fldCharType="separate"/>
            </w:r>
            <w:r w:rsidR="00C0297C">
              <w:rPr>
                <w:noProof/>
                <w:webHidden/>
              </w:rPr>
              <w:t>5</w:t>
            </w:r>
            <w:r w:rsidR="00C0297C">
              <w:rPr>
                <w:noProof/>
                <w:webHidden/>
              </w:rPr>
              <w:fldChar w:fldCharType="end"/>
            </w:r>
          </w:hyperlink>
        </w:p>
        <w:p w14:paraId="7E015939" w14:textId="747589E9"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68" w:history="1">
            <w:r w:rsidR="00C0297C" w:rsidRPr="00F203CD">
              <w:rPr>
                <w:rStyle w:val="Hypertextovodkaz"/>
                <w:noProof/>
              </w:rPr>
              <w:t>1.1</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Návrh nařízení Evropského parlamentu a Rady</w:t>
            </w:r>
            <w:r w:rsidR="00C0297C">
              <w:rPr>
                <w:noProof/>
                <w:webHidden/>
              </w:rPr>
              <w:tab/>
            </w:r>
            <w:r w:rsidR="00C0297C">
              <w:rPr>
                <w:noProof/>
                <w:webHidden/>
              </w:rPr>
              <w:fldChar w:fldCharType="begin"/>
            </w:r>
            <w:r w:rsidR="00C0297C">
              <w:rPr>
                <w:noProof/>
                <w:webHidden/>
              </w:rPr>
              <w:instrText xml:space="preserve"> PAGEREF _Toc81752168 \h </w:instrText>
            </w:r>
            <w:r w:rsidR="00C0297C">
              <w:rPr>
                <w:noProof/>
                <w:webHidden/>
              </w:rPr>
            </w:r>
            <w:r w:rsidR="00C0297C">
              <w:rPr>
                <w:noProof/>
                <w:webHidden/>
              </w:rPr>
              <w:fldChar w:fldCharType="separate"/>
            </w:r>
            <w:r w:rsidR="00C0297C">
              <w:rPr>
                <w:noProof/>
                <w:webHidden/>
              </w:rPr>
              <w:t>5</w:t>
            </w:r>
            <w:r w:rsidR="00C0297C">
              <w:rPr>
                <w:noProof/>
                <w:webHidden/>
              </w:rPr>
              <w:fldChar w:fldCharType="end"/>
            </w:r>
          </w:hyperlink>
        </w:p>
        <w:p w14:paraId="14C8DF63" w14:textId="0BE71E2D"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69" w:history="1">
            <w:r w:rsidR="00C0297C" w:rsidRPr="00F203CD">
              <w:rPr>
                <w:rStyle w:val="Hypertextovodkaz"/>
                <w:noProof/>
              </w:rPr>
              <w:t>1.2</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Zákony a předpisy ČR</w:t>
            </w:r>
            <w:r w:rsidR="00C0297C">
              <w:rPr>
                <w:noProof/>
                <w:webHidden/>
              </w:rPr>
              <w:tab/>
            </w:r>
            <w:r w:rsidR="00C0297C">
              <w:rPr>
                <w:noProof/>
                <w:webHidden/>
              </w:rPr>
              <w:fldChar w:fldCharType="begin"/>
            </w:r>
            <w:r w:rsidR="00C0297C">
              <w:rPr>
                <w:noProof/>
                <w:webHidden/>
              </w:rPr>
              <w:instrText xml:space="preserve"> PAGEREF _Toc81752169 \h </w:instrText>
            </w:r>
            <w:r w:rsidR="00C0297C">
              <w:rPr>
                <w:noProof/>
                <w:webHidden/>
              </w:rPr>
            </w:r>
            <w:r w:rsidR="00C0297C">
              <w:rPr>
                <w:noProof/>
                <w:webHidden/>
              </w:rPr>
              <w:fldChar w:fldCharType="separate"/>
            </w:r>
            <w:r w:rsidR="00C0297C">
              <w:rPr>
                <w:noProof/>
                <w:webHidden/>
              </w:rPr>
              <w:t>6</w:t>
            </w:r>
            <w:r w:rsidR="00C0297C">
              <w:rPr>
                <w:noProof/>
                <w:webHidden/>
              </w:rPr>
              <w:fldChar w:fldCharType="end"/>
            </w:r>
          </w:hyperlink>
        </w:p>
        <w:p w14:paraId="792EA038" w14:textId="7BED58F6"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70" w:history="1">
            <w:r w:rsidR="00C0297C" w:rsidRPr="00F203CD">
              <w:rPr>
                <w:rStyle w:val="Hypertextovodkaz"/>
                <w:noProof/>
              </w:rPr>
              <w:t>1.3</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Strategické a koncepční dokumenty ČR</w:t>
            </w:r>
            <w:r w:rsidR="00C0297C">
              <w:rPr>
                <w:noProof/>
                <w:webHidden/>
              </w:rPr>
              <w:tab/>
            </w:r>
            <w:r w:rsidR="00C0297C">
              <w:rPr>
                <w:noProof/>
                <w:webHidden/>
              </w:rPr>
              <w:fldChar w:fldCharType="begin"/>
            </w:r>
            <w:r w:rsidR="00C0297C">
              <w:rPr>
                <w:noProof/>
                <w:webHidden/>
              </w:rPr>
              <w:instrText xml:space="preserve"> PAGEREF _Toc81752170 \h </w:instrText>
            </w:r>
            <w:r w:rsidR="00C0297C">
              <w:rPr>
                <w:noProof/>
                <w:webHidden/>
              </w:rPr>
            </w:r>
            <w:r w:rsidR="00C0297C">
              <w:rPr>
                <w:noProof/>
                <w:webHidden/>
              </w:rPr>
              <w:fldChar w:fldCharType="separate"/>
            </w:r>
            <w:r w:rsidR="00C0297C">
              <w:rPr>
                <w:noProof/>
                <w:webHidden/>
              </w:rPr>
              <w:t>7</w:t>
            </w:r>
            <w:r w:rsidR="00C0297C">
              <w:rPr>
                <w:noProof/>
                <w:webHidden/>
              </w:rPr>
              <w:fldChar w:fldCharType="end"/>
            </w:r>
          </w:hyperlink>
        </w:p>
        <w:p w14:paraId="0CC57A96" w14:textId="5BDD5DA3"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71" w:history="1">
            <w:r w:rsidR="00C0297C" w:rsidRPr="00F203CD">
              <w:rPr>
                <w:rStyle w:val="Hypertextovodkaz"/>
                <w:noProof/>
              </w:rPr>
              <w:t>1.4</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Přehled znění legislativy</w:t>
            </w:r>
            <w:r w:rsidR="00C0297C">
              <w:rPr>
                <w:noProof/>
                <w:webHidden/>
              </w:rPr>
              <w:tab/>
            </w:r>
            <w:r w:rsidR="00C0297C">
              <w:rPr>
                <w:noProof/>
                <w:webHidden/>
              </w:rPr>
              <w:fldChar w:fldCharType="begin"/>
            </w:r>
            <w:r w:rsidR="00C0297C">
              <w:rPr>
                <w:noProof/>
                <w:webHidden/>
              </w:rPr>
              <w:instrText xml:space="preserve"> PAGEREF _Toc81752171 \h </w:instrText>
            </w:r>
            <w:r w:rsidR="00C0297C">
              <w:rPr>
                <w:noProof/>
                <w:webHidden/>
              </w:rPr>
            </w:r>
            <w:r w:rsidR="00C0297C">
              <w:rPr>
                <w:noProof/>
                <w:webHidden/>
              </w:rPr>
              <w:fldChar w:fldCharType="separate"/>
            </w:r>
            <w:r w:rsidR="00C0297C">
              <w:rPr>
                <w:noProof/>
                <w:webHidden/>
              </w:rPr>
              <w:t>7</w:t>
            </w:r>
            <w:r w:rsidR="00C0297C">
              <w:rPr>
                <w:noProof/>
                <w:webHidden/>
              </w:rPr>
              <w:fldChar w:fldCharType="end"/>
            </w:r>
          </w:hyperlink>
        </w:p>
        <w:p w14:paraId="0EFC71E2" w14:textId="606E0D6B"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172" w:history="1">
            <w:r w:rsidR="00C0297C" w:rsidRPr="00F203CD">
              <w:rPr>
                <w:rStyle w:val="Hypertextovodkaz"/>
                <w:noProof/>
              </w:rPr>
              <w:t>2</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Stanovení skutečného problému, na který má politika reagovat</w:t>
            </w:r>
            <w:r w:rsidR="00C0297C">
              <w:rPr>
                <w:noProof/>
                <w:webHidden/>
              </w:rPr>
              <w:tab/>
            </w:r>
            <w:r w:rsidR="00C0297C">
              <w:rPr>
                <w:noProof/>
                <w:webHidden/>
              </w:rPr>
              <w:fldChar w:fldCharType="begin"/>
            </w:r>
            <w:r w:rsidR="00C0297C">
              <w:rPr>
                <w:noProof/>
                <w:webHidden/>
              </w:rPr>
              <w:instrText xml:space="preserve"> PAGEREF _Toc81752172 \h </w:instrText>
            </w:r>
            <w:r w:rsidR="00C0297C">
              <w:rPr>
                <w:noProof/>
                <w:webHidden/>
              </w:rPr>
            </w:r>
            <w:r w:rsidR="00C0297C">
              <w:rPr>
                <w:noProof/>
                <w:webHidden/>
              </w:rPr>
              <w:fldChar w:fldCharType="separate"/>
            </w:r>
            <w:r w:rsidR="00C0297C">
              <w:rPr>
                <w:noProof/>
                <w:webHidden/>
              </w:rPr>
              <w:t>12</w:t>
            </w:r>
            <w:r w:rsidR="00C0297C">
              <w:rPr>
                <w:noProof/>
                <w:webHidden/>
              </w:rPr>
              <w:fldChar w:fldCharType="end"/>
            </w:r>
          </w:hyperlink>
        </w:p>
        <w:p w14:paraId="05A9B715" w14:textId="337B48E6"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173" w:history="1">
            <w:r w:rsidR="00C0297C" w:rsidRPr="00F203CD">
              <w:rPr>
                <w:rStyle w:val="Hypertextovodkaz"/>
                <w:noProof/>
              </w:rPr>
              <w:t>3</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Mechanismus a příčiny vzniku problému</w:t>
            </w:r>
            <w:r w:rsidR="00C0297C">
              <w:rPr>
                <w:noProof/>
                <w:webHidden/>
              </w:rPr>
              <w:tab/>
            </w:r>
            <w:r w:rsidR="00C0297C">
              <w:rPr>
                <w:noProof/>
                <w:webHidden/>
              </w:rPr>
              <w:fldChar w:fldCharType="begin"/>
            </w:r>
            <w:r w:rsidR="00C0297C">
              <w:rPr>
                <w:noProof/>
                <w:webHidden/>
              </w:rPr>
              <w:instrText xml:space="preserve"> PAGEREF _Toc81752173 \h </w:instrText>
            </w:r>
            <w:r w:rsidR="00C0297C">
              <w:rPr>
                <w:noProof/>
                <w:webHidden/>
              </w:rPr>
            </w:r>
            <w:r w:rsidR="00C0297C">
              <w:rPr>
                <w:noProof/>
                <w:webHidden/>
              </w:rPr>
              <w:fldChar w:fldCharType="separate"/>
            </w:r>
            <w:r w:rsidR="00C0297C">
              <w:rPr>
                <w:noProof/>
                <w:webHidden/>
              </w:rPr>
              <w:t>13</w:t>
            </w:r>
            <w:r w:rsidR="00C0297C">
              <w:rPr>
                <w:noProof/>
                <w:webHidden/>
              </w:rPr>
              <w:fldChar w:fldCharType="end"/>
            </w:r>
          </w:hyperlink>
        </w:p>
        <w:p w14:paraId="5AE15B26" w14:textId="1EEEBB67"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74" w:history="1">
            <w:r w:rsidR="00C0297C" w:rsidRPr="00F203CD">
              <w:rPr>
                <w:rStyle w:val="Hypertextovodkaz"/>
                <w:noProof/>
              </w:rPr>
              <w:t>3.1</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Stručný přehled příčin vzniku problému</w:t>
            </w:r>
            <w:r w:rsidR="00C0297C">
              <w:rPr>
                <w:noProof/>
                <w:webHidden/>
              </w:rPr>
              <w:tab/>
            </w:r>
            <w:r w:rsidR="00C0297C">
              <w:rPr>
                <w:noProof/>
                <w:webHidden/>
              </w:rPr>
              <w:fldChar w:fldCharType="begin"/>
            </w:r>
            <w:r w:rsidR="00C0297C">
              <w:rPr>
                <w:noProof/>
                <w:webHidden/>
              </w:rPr>
              <w:instrText xml:space="preserve"> PAGEREF _Toc81752174 \h </w:instrText>
            </w:r>
            <w:r w:rsidR="00C0297C">
              <w:rPr>
                <w:noProof/>
                <w:webHidden/>
              </w:rPr>
            </w:r>
            <w:r w:rsidR="00C0297C">
              <w:rPr>
                <w:noProof/>
                <w:webHidden/>
              </w:rPr>
              <w:fldChar w:fldCharType="separate"/>
            </w:r>
            <w:r w:rsidR="00C0297C">
              <w:rPr>
                <w:noProof/>
                <w:webHidden/>
              </w:rPr>
              <w:t>13</w:t>
            </w:r>
            <w:r w:rsidR="00C0297C">
              <w:rPr>
                <w:noProof/>
                <w:webHidden/>
              </w:rPr>
              <w:fldChar w:fldCharType="end"/>
            </w:r>
          </w:hyperlink>
        </w:p>
        <w:p w14:paraId="12729554" w14:textId="1915880B"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75" w:history="1">
            <w:r w:rsidR="00C0297C" w:rsidRPr="00F203CD">
              <w:rPr>
                <w:rStyle w:val="Hypertextovodkaz"/>
                <w:noProof/>
                <w:lang w:val="cs-CZ"/>
              </w:rPr>
              <w:t>3.1.1</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Mzdová disparita</w:t>
            </w:r>
            <w:r w:rsidR="00C0297C">
              <w:rPr>
                <w:noProof/>
                <w:webHidden/>
              </w:rPr>
              <w:tab/>
            </w:r>
            <w:r w:rsidR="00C0297C">
              <w:rPr>
                <w:noProof/>
                <w:webHidden/>
              </w:rPr>
              <w:fldChar w:fldCharType="begin"/>
            </w:r>
            <w:r w:rsidR="00C0297C">
              <w:rPr>
                <w:noProof/>
                <w:webHidden/>
              </w:rPr>
              <w:instrText xml:space="preserve"> PAGEREF _Toc81752175 \h </w:instrText>
            </w:r>
            <w:r w:rsidR="00C0297C">
              <w:rPr>
                <w:noProof/>
                <w:webHidden/>
              </w:rPr>
            </w:r>
            <w:r w:rsidR="00C0297C">
              <w:rPr>
                <w:noProof/>
                <w:webHidden/>
              </w:rPr>
              <w:fldChar w:fldCharType="separate"/>
            </w:r>
            <w:r w:rsidR="00C0297C">
              <w:rPr>
                <w:noProof/>
                <w:webHidden/>
              </w:rPr>
              <w:t>13</w:t>
            </w:r>
            <w:r w:rsidR="00C0297C">
              <w:rPr>
                <w:noProof/>
                <w:webHidden/>
              </w:rPr>
              <w:fldChar w:fldCharType="end"/>
            </w:r>
          </w:hyperlink>
        </w:p>
        <w:p w14:paraId="50D766CB" w14:textId="563147F7"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76" w:history="1">
            <w:r w:rsidR="00C0297C" w:rsidRPr="00F203CD">
              <w:rPr>
                <w:rStyle w:val="Hypertextovodkaz"/>
                <w:noProof/>
                <w:lang w:val="cs-CZ"/>
              </w:rPr>
              <w:t>3.1.2</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Příjmová disparita</w:t>
            </w:r>
            <w:r w:rsidR="00C0297C">
              <w:rPr>
                <w:noProof/>
                <w:webHidden/>
              </w:rPr>
              <w:tab/>
            </w:r>
            <w:r w:rsidR="00C0297C">
              <w:rPr>
                <w:noProof/>
                <w:webHidden/>
              </w:rPr>
              <w:fldChar w:fldCharType="begin"/>
            </w:r>
            <w:r w:rsidR="00C0297C">
              <w:rPr>
                <w:noProof/>
                <w:webHidden/>
              </w:rPr>
              <w:instrText xml:space="preserve"> PAGEREF _Toc81752176 \h </w:instrText>
            </w:r>
            <w:r w:rsidR="00C0297C">
              <w:rPr>
                <w:noProof/>
                <w:webHidden/>
              </w:rPr>
            </w:r>
            <w:r w:rsidR="00C0297C">
              <w:rPr>
                <w:noProof/>
                <w:webHidden/>
              </w:rPr>
              <w:fldChar w:fldCharType="separate"/>
            </w:r>
            <w:r w:rsidR="00C0297C">
              <w:rPr>
                <w:noProof/>
                <w:webHidden/>
              </w:rPr>
              <w:t>13</w:t>
            </w:r>
            <w:r w:rsidR="00C0297C">
              <w:rPr>
                <w:noProof/>
                <w:webHidden/>
              </w:rPr>
              <w:fldChar w:fldCharType="end"/>
            </w:r>
          </w:hyperlink>
        </w:p>
        <w:p w14:paraId="728F6B2F" w14:textId="7C302FD7"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77" w:history="1">
            <w:r w:rsidR="00C0297C" w:rsidRPr="00F203CD">
              <w:rPr>
                <w:rStyle w:val="Hypertextovodkaz"/>
                <w:noProof/>
              </w:rPr>
              <w:t>3.1.3</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Přístup k půdě</w:t>
            </w:r>
            <w:r w:rsidR="00C0297C">
              <w:rPr>
                <w:noProof/>
                <w:webHidden/>
              </w:rPr>
              <w:tab/>
            </w:r>
            <w:r w:rsidR="00C0297C">
              <w:rPr>
                <w:noProof/>
                <w:webHidden/>
              </w:rPr>
              <w:fldChar w:fldCharType="begin"/>
            </w:r>
            <w:r w:rsidR="00C0297C">
              <w:rPr>
                <w:noProof/>
                <w:webHidden/>
              </w:rPr>
              <w:instrText xml:space="preserve"> PAGEREF _Toc81752177 \h </w:instrText>
            </w:r>
            <w:r w:rsidR="00C0297C">
              <w:rPr>
                <w:noProof/>
                <w:webHidden/>
              </w:rPr>
            </w:r>
            <w:r w:rsidR="00C0297C">
              <w:rPr>
                <w:noProof/>
                <w:webHidden/>
              </w:rPr>
              <w:fldChar w:fldCharType="separate"/>
            </w:r>
            <w:r w:rsidR="00C0297C">
              <w:rPr>
                <w:noProof/>
                <w:webHidden/>
              </w:rPr>
              <w:t>13</w:t>
            </w:r>
            <w:r w:rsidR="00C0297C">
              <w:rPr>
                <w:noProof/>
                <w:webHidden/>
              </w:rPr>
              <w:fldChar w:fldCharType="end"/>
            </w:r>
          </w:hyperlink>
        </w:p>
        <w:p w14:paraId="030FEA6E" w14:textId="3B97B13C"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78" w:history="1">
            <w:r w:rsidR="00C0297C" w:rsidRPr="00F203CD">
              <w:rPr>
                <w:rStyle w:val="Hypertextovodkaz"/>
                <w:noProof/>
              </w:rPr>
              <w:t>3.1.4</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Přístup k financím a kapitálu</w:t>
            </w:r>
            <w:r w:rsidR="00C0297C">
              <w:rPr>
                <w:noProof/>
                <w:webHidden/>
              </w:rPr>
              <w:tab/>
            </w:r>
            <w:r w:rsidR="00C0297C">
              <w:rPr>
                <w:noProof/>
                <w:webHidden/>
              </w:rPr>
              <w:fldChar w:fldCharType="begin"/>
            </w:r>
            <w:r w:rsidR="00C0297C">
              <w:rPr>
                <w:noProof/>
                <w:webHidden/>
              </w:rPr>
              <w:instrText xml:space="preserve"> PAGEREF _Toc81752178 \h </w:instrText>
            </w:r>
            <w:r w:rsidR="00C0297C">
              <w:rPr>
                <w:noProof/>
                <w:webHidden/>
              </w:rPr>
            </w:r>
            <w:r w:rsidR="00C0297C">
              <w:rPr>
                <w:noProof/>
                <w:webHidden/>
              </w:rPr>
              <w:fldChar w:fldCharType="separate"/>
            </w:r>
            <w:r w:rsidR="00C0297C">
              <w:rPr>
                <w:noProof/>
                <w:webHidden/>
              </w:rPr>
              <w:t>13</w:t>
            </w:r>
            <w:r w:rsidR="00C0297C">
              <w:rPr>
                <w:noProof/>
                <w:webHidden/>
              </w:rPr>
              <w:fldChar w:fldCharType="end"/>
            </w:r>
          </w:hyperlink>
        </w:p>
        <w:p w14:paraId="14A13749" w14:textId="6765E96F"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79" w:history="1">
            <w:r w:rsidR="00C0297C" w:rsidRPr="00F203CD">
              <w:rPr>
                <w:rStyle w:val="Hypertextovodkaz"/>
                <w:noProof/>
              </w:rPr>
              <w:t>3.1.5</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Přístup ke znalostem a poradenství</w:t>
            </w:r>
            <w:r w:rsidR="00C0297C">
              <w:rPr>
                <w:noProof/>
                <w:webHidden/>
              </w:rPr>
              <w:tab/>
            </w:r>
            <w:r w:rsidR="00C0297C">
              <w:rPr>
                <w:noProof/>
                <w:webHidden/>
              </w:rPr>
              <w:fldChar w:fldCharType="begin"/>
            </w:r>
            <w:r w:rsidR="00C0297C">
              <w:rPr>
                <w:noProof/>
                <w:webHidden/>
              </w:rPr>
              <w:instrText xml:space="preserve"> PAGEREF _Toc81752179 \h </w:instrText>
            </w:r>
            <w:r w:rsidR="00C0297C">
              <w:rPr>
                <w:noProof/>
                <w:webHidden/>
              </w:rPr>
            </w:r>
            <w:r w:rsidR="00C0297C">
              <w:rPr>
                <w:noProof/>
                <w:webHidden/>
              </w:rPr>
              <w:fldChar w:fldCharType="separate"/>
            </w:r>
            <w:r w:rsidR="00C0297C">
              <w:rPr>
                <w:noProof/>
                <w:webHidden/>
              </w:rPr>
              <w:t>14</w:t>
            </w:r>
            <w:r w:rsidR="00C0297C">
              <w:rPr>
                <w:noProof/>
                <w:webHidden/>
              </w:rPr>
              <w:fldChar w:fldCharType="end"/>
            </w:r>
          </w:hyperlink>
        </w:p>
        <w:p w14:paraId="07D29D47" w14:textId="0761BAE4"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0" w:history="1">
            <w:r w:rsidR="00C0297C" w:rsidRPr="00F203CD">
              <w:rPr>
                <w:rStyle w:val="Hypertextovodkaz"/>
                <w:noProof/>
                <w:lang w:val="cs-CZ"/>
              </w:rPr>
              <w:t>3.1.6</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Administrativní náročnost</w:t>
            </w:r>
            <w:r w:rsidR="00C0297C">
              <w:rPr>
                <w:noProof/>
                <w:webHidden/>
              </w:rPr>
              <w:tab/>
            </w:r>
            <w:r w:rsidR="00C0297C">
              <w:rPr>
                <w:noProof/>
                <w:webHidden/>
              </w:rPr>
              <w:fldChar w:fldCharType="begin"/>
            </w:r>
            <w:r w:rsidR="00C0297C">
              <w:rPr>
                <w:noProof/>
                <w:webHidden/>
              </w:rPr>
              <w:instrText xml:space="preserve"> PAGEREF _Toc81752180 \h </w:instrText>
            </w:r>
            <w:r w:rsidR="00C0297C">
              <w:rPr>
                <w:noProof/>
                <w:webHidden/>
              </w:rPr>
            </w:r>
            <w:r w:rsidR="00C0297C">
              <w:rPr>
                <w:noProof/>
                <w:webHidden/>
              </w:rPr>
              <w:fldChar w:fldCharType="separate"/>
            </w:r>
            <w:r w:rsidR="00C0297C">
              <w:rPr>
                <w:noProof/>
                <w:webHidden/>
              </w:rPr>
              <w:t>14</w:t>
            </w:r>
            <w:r w:rsidR="00C0297C">
              <w:rPr>
                <w:noProof/>
                <w:webHidden/>
              </w:rPr>
              <w:fldChar w:fldCharType="end"/>
            </w:r>
          </w:hyperlink>
        </w:p>
        <w:p w14:paraId="35E86849" w14:textId="7A2E615C"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1" w:history="1">
            <w:r w:rsidR="00C0297C" w:rsidRPr="00F203CD">
              <w:rPr>
                <w:rStyle w:val="Hypertextovodkaz"/>
                <w:noProof/>
                <w:lang w:val="cs-CZ"/>
              </w:rPr>
              <w:t>3.1.7</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Neochota mladých vstupovat do zemědělství</w:t>
            </w:r>
            <w:r w:rsidR="00C0297C">
              <w:rPr>
                <w:noProof/>
                <w:webHidden/>
              </w:rPr>
              <w:tab/>
            </w:r>
            <w:r w:rsidR="00C0297C">
              <w:rPr>
                <w:noProof/>
                <w:webHidden/>
              </w:rPr>
              <w:fldChar w:fldCharType="begin"/>
            </w:r>
            <w:r w:rsidR="00C0297C">
              <w:rPr>
                <w:noProof/>
                <w:webHidden/>
              </w:rPr>
              <w:instrText xml:space="preserve"> PAGEREF _Toc81752181 \h </w:instrText>
            </w:r>
            <w:r w:rsidR="00C0297C">
              <w:rPr>
                <w:noProof/>
                <w:webHidden/>
              </w:rPr>
            </w:r>
            <w:r w:rsidR="00C0297C">
              <w:rPr>
                <w:noProof/>
                <w:webHidden/>
              </w:rPr>
              <w:fldChar w:fldCharType="separate"/>
            </w:r>
            <w:r w:rsidR="00C0297C">
              <w:rPr>
                <w:noProof/>
                <w:webHidden/>
              </w:rPr>
              <w:t>14</w:t>
            </w:r>
            <w:r w:rsidR="00C0297C">
              <w:rPr>
                <w:noProof/>
                <w:webHidden/>
              </w:rPr>
              <w:fldChar w:fldCharType="end"/>
            </w:r>
          </w:hyperlink>
        </w:p>
        <w:p w14:paraId="2FF59AE7" w14:textId="7B7822B5"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2" w:history="1">
            <w:r w:rsidR="00C0297C" w:rsidRPr="00F203CD">
              <w:rPr>
                <w:rStyle w:val="Hypertextovodkaz"/>
                <w:noProof/>
                <w:lang w:val="cs-CZ"/>
              </w:rPr>
              <w:t>3.1.8</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Neochota předávat hospodářství mladším zemědělcům</w:t>
            </w:r>
            <w:r w:rsidR="00C0297C">
              <w:rPr>
                <w:noProof/>
                <w:webHidden/>
              </w:rPr>
              <w:tab/>
            </w:r>
            <w:r w:rsidR="00C0297C">
              <w:rPr>
                <w:noProof/>
                <w:webHidden/>
              </w:rPr>
              <w:fldChar w:fldCharType="begin"/>
            </w:r>
            <w:r w:rsidR="00C0297C">
              <w:rPr>
                <w:noProof/>
                <w:webHidden/>
              </w:rPr>
              <w:instrText xml:space="preserve"> PAGEREF _Toc81752182 \h </w:instrText>
            </w:r>
            <w:r w:rsidR="00C0297C">
              <w:rPr>
                <w:noProof/>
                <w:webHidden/>
              </w:rPr>
            </w:r>
            <w:r w:rsidR="00C0297C">
              <w:rPr>
                <w:noProof/>
                <w:webHidden/>
              </w:rPr>
              <w:fldChar w:fldCharType="separate"/>
            </w:r>
            <w:r w:rsidR="00C0297C">
              <w:rPr>
                <w:noProof/>
                <w:webHidden/>
              </w:rPr>
              <w:t>14</w:t>
            </w:r>
            <w:r w:rsidR="00C0297C">
              <w:rPr>
                <w:noProof/>
                <w:webHidden/>
              </w:rPr>
              <w:fldChar w:fldCharType="end"/>
            </w:r>
          </w:hyperlink>
        </w:p>
        <w:p w14:paraId="7C445659" w14:textId="504896CB"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83" w:history="1">
            <w:r w:rsidR="00C0297C" w:rsidRPr="00F203CD">
              <w:rPr>
                <w:rStyle w:val="Hypertextovodkaz"/>
                <w:noProof/>
              </w:rPr>
              <w:t>3.2</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Podrobnější rozbor příčin vzniku problému</w:t>
            </w:r>
            <w:r w:rsidR="00C0297C">
              <w:rPr>
                <w:noProof/>
                <w:webHidden/>
              </w:rPr>
              <w:tab/>
            </w:r>
            <w:r w:rsidR="00C0297C">
              <w:rPr>
                <w:noProof/>
                <w:webHidden/>
              </w:rPr>
              <w:fldChar w:fldCharType="begin"/>
            </w:r>
            <w:r w:rsidR="00C0297C">
              <w:rPr>
                <w:noProof/>
                <w:webHidden/>
              </w:rPr>
              <w:instrText xml:space="preserve"> PAGEREF _Toc81752183 \h </w:instrText>
            </w:r>
            <w:r w:rsidR="00C0297C">
              <w:rPr>
                <w:noProof/>
                <w:webHidden/>
              </w:rPr>
            </w:r>
            <w:r w:rsidR="00C0297C">
              <w:rPr>
                <w:noProof/>
                <w:webHidden/>
              </w:rPr>
              <w:fldChar w:fldCharType="separate"/>
            </w:r>
            <w:r w:rsidR="00C0297C">
              <w:rPr>
                <w:noProof/>
                <w:webHidden/>
              </w:rPr>
              <w:t>14</w:t>
            </w:r>
            <w:r w:rsidR="00C0297C">
              <w:rPr>
                <w:noProof/>
                <w:webHidden/>
              </w:rPr>
              <w:fldChar w:fldCharType="end"/>
            </w:r>
          </w:hyperlink>
        </w:p>
        <w:p w14:paraId="64B18AA4" w14:textId="103CBC63"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4" w:history="1">
            <w:r w:rsidR="00C0297C" w:rsidRPr="00F203CD">
              <w:rPr>
                <w:rStyle w:val="Hypertextovodkaz"/>
                <w:noProof/>
                <w:lang w:val="cs-CZ"/>
              </w:rPr>
              <w:t>3.2.1</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Mzdová disparita zaměstnanců v zemědělství</w:t>
            </w:r>
            <w:r w:rsidR="00C0297C">
              <w:rPr>
                <w:noProof/>
                <w:webHidden/>
              </w:rPr>
              <w:tab/>
            </w:r>
            <w:r w:rsidR="00C0297C">
              <w:rPr>
                <w:noProof/>
                <w:webHidden/>
              </w:rPr>
              <w:fldChar w:fldCharType="begin"/>
            </w:r>
            <w:r w:rsidR="00C0297C">
              <w:rPr>
                <w:noProof/>
                <w:webHidden/>
              </w:rPr>
              <w:instrText xml:space="preserve"> PAGEREF _Toc81752184 \h </w:instrText>
            </w:r>
            <w:r w:rsidR="00C0297C">
              <w:rPr>
                <w:noProof/>
                <w:webHidden/>
              </w:rPr>
            </w:r>
            <w:r w:rsidR="00C0297C">
              <w:rPr>
                <w:noProof/>
                <w:webHidden/>
              </w:rPr>
              <w:fldChar w:fldCharType="separate"/>
            </w:r>
            <w:r w:rsidR="00C0297C">
              <w:rPr>
                <w:noProof/>
                <w:webHidden/>
              </w:rPr>
              <w:t>14</w:t>
            </w:r>
            <w:r w:rsidR="00C0297C">
              <w:rPr>
                <w:noProof/>
                <w:webHidden/>
              </w:rPr>
              <w:fldChar w:fldCharType="end"/>
            </w:r>
          </w:hyperlink>
        </w:p>
        <w:p w14:paraId="0A20AE97" w14:textId="55695C73"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5" w:history="1">
            <w:r w:rsidR="00C0297C" w:rsidRPr="00F203CD">
              <w:rPr>
                <w:rStyle w:val="Hypertextovodkaz"/>
                <w:noProof/>
              </w:rPr>
              <w:t>3.2.2</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Příjmová disparita v zemědělství</w:t>
            </w:r>
            <w:r w:rsidR="00C0297C">
              <w:rPr>
                <w:noProof/>
                <w:webHidden/>
              </w:rPr>
              <w:tab/>
            </w:r>
            <w:r w:rsidR="00C0297C">
              <w:rPr>
                <w:noProof/>
                <w:webHidden/>
              </w:rPr>
              <w:fldChar w:fldCharType="begin"/>
            </w:r>
            <w:r w:rsidR="00C0297C">
              <w:rPr>
                <w:noProof/>
                <w:webHidden/>
              </w:rPr>
              <w:instrText xml:space="preserve"> PAGEREF _Toc81752185 \h </w:instrText>
            </w:r>
            <w:r w:rsidR="00C0297C">
              <w:rPr>
                <w:noProof/>
                <w:webHidden/>
              </w:rPr>
            </w:r>
            <w:r w:rsidR="00C0297C">
              <w:rPr>
                <w:noProof/>
                <w:webHidden/>
              </w:rPr>
              <w:fldChar w:fldCharType="separate"/>
            </w:r>
            <w:r w:rsidR="00C0297C">
              <w:rPr>
                <w:noProof/>
                <w:webHidden/>
              </w:rPr>
              <w:t>15</w:t>
            </w:r>
            <w:r w:rsidR="00C0297C">
              <w:rPr>
                <w:noProof/>
                <w:webHidden/>
              </w:rPr>
              <w:fldChar w:fldCharType="end"/>
            </w:r>
          </w:hyperlink>
        </w:p>
        <w:p w14:paraId="22D697BF" w14:textId="2E1856F9"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6" w:history="1">
            <w:r w:rsidR="00C0297C" w:rsidRPr="00F203CD">
              <w:rPr>
                <w:rStyle w:val="Hypertextovodkaz"/>
                <w:noProof/>
              </w:rPr>
              <w:t>3.2.3</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Přístup k půdě</w:t>
            </w:r>
            <w:r w:rsidR="00C0297C">
              <w:rPr>
                <w:noProof/>
                <w:webHidden/>
              </w:rPr>
              <w:tab/>
            </w:r>
            <w:r w:rsidR="00C0297C">
              <w:rPr>
                <w:noProof/>
                <w:webHidden/>
              </w:rPr>
              <w:fldChar w:fldCharType="begin"/>
            </w:r>
            <w:r w:rsidR="00C0297C">
              <w:rPr>
                <w:noProof/>
                <w:webHidden/>
              </w:rPr>
              <w:instrText xml:space="preserve"> PAGEREF _Toc81752186 \h </w:instrText>
            </w:r>
            <w:r w:rsidR="00C0297C">
              <w:rPr>
                <w:noProof/>
                <w:webHidden/>
              </w:rPr>
            </w:r>
            <w:r w:rsidR="00C0297C">
              <w:rPr>
                <w:noProof/>
                <w:webHidden/>
              </w:rPr>
              <w:fldChar w:fldCharType="separate"/>
            </w:r>
            <w:r w:rsidR="00C0297C">
              <w:rPr>
                <w:noProof/>
                <w:webHidden/>
              </w:rPr>
              <w:t>17</w:t>
            </w:r>
            <w:r w:rsidR="00C0297C">
              <w:rPr>
                <w:noProof/>
                <w:webHidden/>
              </w:rPr>
              <w:fldChar w:fldCharType="end"/>
            </w:r>
          </w:hyperlink>
        </w:p>
        <w:p w14:paraId="1D883967" w14:textId="5BE4F834"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7" w:history="1">
            <w:r w:rsidR="00C0297C" w:rsidRPr="00F203CD">
              <w:rPr>
                <w:rStyle w:val="Hypertextovodkaz"/>
                <w:noProof/>
                <w:lang w:val="cs-CZ"/>
              </w:rPr>
              <w:t>3.2.4</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Přístup k financím a kapitálu</w:t>
            </w:r>
            <w:r w:rsidR="00C0297C">
              <w:rPr>
                <w:noProof/>
                <w:webHidden/>
              </w:rPr>
              <w:tab/>
            </w:r>
            <w:r w:rsidR="00C0297C">
              <w:rPr>
                <w:noProof/>
                <w:webHidden/>
              </w:rPr>
              <w:fldChar w:fldCharType="begin"/>
            </w:r>
            <w:r w:rsidR="00C0297C">
              <w:rPr>
                <w:noProof/>
                <w:webHidden/>
              </w:rPr>
              <w:instrText xml:space="preserve"> PAGEREF _Toc81752187 \h </w:instrText>
            </w:r>
            <w:r w:rsidR="00C0297C">
              <w:rPr>
                <w:noProof/>
                <w:webHidden/>
              </w:rPr>
            </w:r>
            <w:r w:rsidR="00C0297C">
              <w:rPr>
                <w:noProof/>
                <w:webHidden/>
              </w:rPr>
              <w:fldChar w:fldCharType="separate"/>
            </w:r>
            <w:r w:rsidR="00C0297C">
              <w:rPr>
                <w:noProof/>
                <w:webHidden/>
              </w:rPr>
              <w:t>19</w:t>
            </w:r>
            <w:r w:rsidR="00C0297C">
              <w:rPr>
                <w:noProof/>
                <w:webHidden/>
              </w:rPr>
              <w:fldChar w:fldCharType="end"/>
            </w:r>
          </w:hyperlink>
        </w:p>
        <w:p w14:paraId="0E0EF50B" w14:textId="56B89857"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8" w:history="1">
            <w:r w:rsidR="00C0297C" w:rsidRPr="00F203CD">
              <w:rPr>
                <w:rStyle w:val="Hypertextovodkaz"/>
                <w:noProof/>
                <w:lang w:val="cs-CZ"/>
              </w:rPr>
              <w:t>3.2.5</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Přístup ke znalostem a poradenství</w:t>
            </w:r>
            <w:r w:rsidR="00C0297C">
              <w:rPr>
                <w:noProof/>
                <w:webHidden/>
              </w:rPr>
              <w:tab/>
            </w:r>
            <w:r w:rsidR="00C0297C">
              <w:rPr>
                <w:noProof/>
                <w:webHidden/>
              </w:rPr>
              <w:fldChar w:fldCharType="begin"/>
            </w:r>
            <w:r w:rsidR="00C0297C">
              <w:rPr>
                <w:noProof/>
                <w:webHidden/>
              </w:rPr>
              <w:instrText xml:space="preserve"> PAGEREF _Toc81752188 \h </w:instrText>
            </w:r>
            <w:r w:rsidR="00C0297C">
              <w:rPr>
                <w:noProof/>
                <w:webHidden/>
              </w:rPr>
            </w:r>
            <w:r w:rsidR="00C0297C">
              <w:rPr>
                <w:noProof/>
                <w:webHidden/>
              </w:rPr>
              <w:fldChar w:fldCharType="separate"/>
            </w:r>
            <w:r w:rsidR="00C0297C">
              <w:rPr>
                <w:noProof/>
                <w:webHidden/>
              </w:rPr>
              <w:t>20</w:t>
            </w:r>
            <w:r w:rsidR="00C0297C">
              <w:rPr>
                <w:noProof/>
                <w:webHidden/>
              </w:rPr>
              <w:fldChar w:fldCharType="end"/>
            </w:r>
          </w:hyperlink>
        </w:p>
        <w:p w14:paraId="6EDB6B8E" w14:textId="1C11B491"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89" w:history="1">
            <w:r w:rsidR="00C0297C" w:rsidRPr="00F203CD">
              <w:rPr>
                <w:rStyle w:val="Hypertextovodkaz"/>
                <w:noProof/>
                <w:lang w:val="cs-CZ"/>
              </w:rPr>
              <w:t>3.2.6</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Administrativní náročnost</w:t>
            </w:r>
            <w:r w:rsidR="00C0297C">
              <w:rPr>
                <w:noProof/>
                <w:webHidden/>
              </w:rPr>
              <w:tab/>
            </w:r>
            <w:r w:rsidR="00C0297C">
              <w:rPr>
                <w:noProof/>
                <w:webHidden/>
              </w:rPr>
              <w:fldChar w:fldCharType="begin"/>
            </w:r>
            <w:r w:rsidR="00C0297C">
              <w:rPr>
                <w:noProof/>
                <w:webHidden/>
              </w:rPr>
              <w:instrText xml:space="preserve"> PAGEREF _Toc81752189 \h </w:instrText>
            </w:r>
            <w:r w:rsidR="00C0297C">
              <w:rPr>
                <w:noProof/>
                <w:webHidden/>
              </w:rPr>
            </w:r>
            <w:r w:rsidR="00C0297C">
              <w:rPr>
                <w:noProof/>
                <w:webHidden/>
              </w:rPr>
              <w:fldChar w:fldCharType="separate"/>
            </w:r>
            <w:r w:rsidR="00C0297C">
              <w:rPr>
                <w:noProof/>
                <w:webHidden/>
              </w:rPr>
              <w:t>21</w:t>
            </w:r>
            <w:r w:rsidR="00C0297C">
              <w:rPr>
                <w:noProof/>
                <w:webHidden/>
              </w:rPr>
              <w:fldChar w:fldCharType="end"/>
            </w:r>
          </w:hyperlink>
        </w:p>
        <w:p w14:paraId="72BA0824" w14:textId="20E34EA7"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90" w:history="1">
            <w:r w:rsidR="00C0297C" w:rsidRPr="00F203CD">
              <w:rPr>
                <w:rStyle w:val="Hypertextovodkaz"/>
                <w:noProof/>
              </w:rPr>
              <w:t>3.2.7</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Neochota mladých vstupovat do zemědělství</w:t>
            </w:r>
            <w:r w:rsidR="00C0297C">
              <w:rPr>
                <w:noProof/>
                <w:webHidden/>
              </w:rPr>
              <w:tab/>
            </w:r>
            <w:r w:rsidR="00C0297C">
              <w:rPr>
                <w:noProof/>
                <w:webHidden/>
              </w:rPr>
              <w:fldChar w:fldCharType="begin"/>
            </w:r>
            <w:r w:rsidR="00C0297C">
              <w:rPr>
                <w:noProof/>
                <w:webHidden/>
              </w:rPr>
              <w:instrText xml:space="preserve"> PAGEREF _Toc81752190 \h </w:instrText>
            </w:r>
            <w:r w:rsidR="00C0297C">
              <w:rPr>
                <w:noProof/>
                <w:webHidden/>
              </w:rPr>
            </w:r>
            <w:r w:rsidR="00C0297C">
              <w:rPr>
                <w:noProof/>
                <w:webHidden/>
              </w:rPr>
              <w:fldChar w:fldCharType="separate"/>
            </w:r>
            <w:r w:rsidR="00C0297C">
              <w:rPr>
                <w:noProof/>
                <w:webHidden/>
              </w:rPr>
              <w:t>21</w:t>
            </w:r>
            <w:r w:rsidR="00C0297C">
              <w:rPr>
                <w:noProof/>
                <w:webHidden/>
              </w:rPr>
              <w:fldChar w:fldCharType="end"/>
            </w:r>
          </w:hyperlink>
        </w:p>
        <w:p w14:paraId="65D73A19" w14:textId="4980C582"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191" w:history="1">
            <w:r w:rsidR="00C0297C" w:rsidRPr="00F203CD">
              <w:rPr>
                <w:rStyle w:val="Hypertextovodkaz"/>
                <w:noProof/>
              </w:rPr>
              <w:t>3.2.8</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rPr>
              <w:t>Neochota předávat hospodářství mladší generaci</w:t>
            </w:r>
            <w:r w:rsidR="00C0297C">
              <w:rPr>
                <w:noProof/>
                <w:webHidden/>
              </w:rPr>
              <w:tab/>
            </w:r>
            <w:r w:rsidR="00C0297C">
              <w:rPr>
                <w:noProof/>
                <w:webHidden/>
              </w:rPr>
              <w:fldChar w:fldCharType="begin"/>
            </w:r>
            <w:r w:rsidR="00C0297C">
              <w:rPr>
                <w:noProof/>
                <w:webHidden/>
              </w:rPr>
              <w:instrText xml:space="preserve"> PAGEREF _Toc81752191 \h </w:instrText>
            </w:r>
            <w:r w:rsidR="00C0297C">
              <w:rPr>
                <w:noProof/>
                <w:webHidden/>
              </w:rPr>
            </w:r>
            <w:r w:rsidR="00C0297C">
              <w:rPr>
                <w:noProof/>
                <w:webHidden/>
              </w:rPr>
              <w:fldChar w:fldCharType="separate"/>
            </w:r>
            <w:r w:rsidR="00C0297C">
              <w:rPr>
                <w:noProof/>
                <w:webHidden/>
              </w:rPr>
              <w:t>22</w:t>
            </w:r>
            <w:r w:rsidR="00C0297C">
              <w:rPr>
                <w:noProof/>
                <w:webHidden/>
              </w:rPr>
              <w:fldChar w:fldCharType="end"/>
            </w:r>
          </w:hyperlink>
        </w:p>
        <w:p w14:paraId="0CDCB604" w14:textId="7A8DF647"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192" w:history="1">
            <w:r w:rsidR="00C0297C" w:rsidRPr="00F203CD">
              <w:rPr>
                <w:rStyle w:val="Hypertextovodkaz"/>
                <w:noProof/>
              </w:rPr>
              <w:t>4</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Závažnost problému</w:t>
            </w:r>
            <w:r w:rsidR="00C0297C">
              <w:rPr>
                <w:noProof/>
                <w:webHidden/>
              </w:rPr>
              <w:tab/>
            </w:r>
            <w:r w:rsidR="00C0297C">
              <w:rPr>
                <w:noProof/>
                <w:webHidden/>
              </w:rPr>
              <w:fldChar w:fldCharType="begin"/>
            </w:r>
            <w:r w:rsidR="00C0297C">
              <w:rPr>
                <w:noProof/>
                <w:webHidden/>
              </w:rPr>
              <w:instrText xml:space="preserve"> PAGEREF _Toc81752192 \h </w:instrText>
            </w:r>
            <w:r w:rsidR="00C0297C">
              <w:rPr>
                <w:noProof/>
                <w:webHidden/>
              </w:rPr>
            </w:r>
            <w:r w:rsidR="00C0297C">
              <w:rPr>
                <w:noProof/>
                <w:webHidden/>
              </w:rPr>
              <w:fldChar w:fldCharType="separate"/>
            </w:r>
            <w:r w:rsidR="00C0297C">
              <w:rPr>
                <w:noProof/>
                <w:webHidden/>
              </w:rPr>
              <w:t>23</w:t>
            </w:r>
            <w:r w:rsidR="00C0297C">
              <w:rPr>
                <w:noProof/>
                <w:webHidden/>
              </w:rPr>
              <w:fldChar w:fldCharType="end"/>
            </w:r>
          </w:hyperlink>
        </w:p>
        <w:p w14:paraId="0A3F5E45" w14:textId="7045E47C"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93" w:history="1">
            <w:r w:rsidR="00C0297C" w:rsidRPr="00F203CD">
              <w:rPr>
                <w:rStyle w:val="Hypertextovodkaz"/>
                <w:noProof/>
              </w:rPr>
              <w:t>4.1</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Věková struktura vedoucích pracovníků v zemědělství</w:t>
            </w:r>
            <w:r w:rsidR="00C0297C">
              <w:rPr>
                <w:noProof/>
                <w:webHidden/>
              </w:rPr>
              <w:tab/>
            </w:r>
            <w:r w:rsidR="00C0297C">
              <w:rPr>
                <w:noProof/>
                <w:webHidden/>
              </w:rPr>
              <w:fldChar w:fldCharType="begin"/>
            </w:r>
            <w:r w:rsidR="00C0297C">
              <w:rPr>
                <w:noProof/>
                <w:webHidden/>
              </w:rPr>
              <w:instrText xml:space="preserve"> PAGEREF _Toc81752193 \h </w:instrText>
            </w:r>
            <w:r w:rsidR="00C0297C">
              <w:rPr>
                <w:noProof/>
                <w:webHidden/>
              </w:rPr>
            </w:r>
            <w:r w:rsidR="00C0297C">
              <w:rPr>
                <w:noProof/>
                <w:webHidden/>
              </w:rPr>
              <w:fldChar w:fldCharType="separate"/>
            </w:r>
            <w:r w:rsidR="00C0297C">
              <w:rPr>
                <w:noProof/>
                <w:webHidden/>
              </w:rPr>
              <w:t>23</w:t>
            </w:r>
            <w:r w:rsidR="00C0297C">
              <w:rPr>
                <w:noProof/>
                <w:webHidden/>
              </w:rPr>
              <w:fldChar w:fldCharType="end"/>
            </w:r>
          </w:hyperlink>
        </w:p>
        <w:p w14:paraId="3C1033FD" w14:textId="7EFB477A"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94" w:history="1">
            <w:r w:rsidR="00C0297C" w:rsidRPr="00F203CD">
              <w:rPr>
                <w:rStyle w:val="Hypertextovodkaz"/>
                <w:noProof/>
              </w:rPr>
              <w:t>4.2</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Vzdělanostní struktura vedoucích pracovníků v zemědělství</w:t>
            </w:r>
            <w:r w:rsidR="00C0297C">
              <w:rPr>
                <w:noProof/>
                <w:webHidden/>
              </w:rPr>
              <w:tab/>
            </w:r>
            <w:r w:rsidR="00C0297C">
              <w:rPr>
                <w:noProof/>
                <w:webHidden/>
              </w:rPr>
              <w:fldChar w:fldCharType="begin"/>
            </w:r>
            <w:r w:rsidR="00C0297C">
              <w:rPr>
                <w:noProof/>
                <w:webHidden/>
              </w:rPr>
              <w:instrText xml:space="preserve"> PAGEREF _Toc81752194 \h </w:instrText>
            </w:r>
            <w:r w:rsidR="00C0297C">
              <w:rPr>
                <w:noProof/>
                <w:webHidden/>
              </w:rPr>
            </w:r>
            <w:r w:rsidR="00C0297C">
              <w:rPr>
                <w:noProof/>
                <w:webHidden/>
              </w:rPr>
              <w:fldChar w:fldCharType="separate"/>
            </w:r>
            <w:r w:rsidR="00C0297C">
              <w:rPr>
                <w:noProof/>
                <w:webHidden/>
              </w:rPr>
              <w:t>23</w:t>
            </w:r>
            <w:r w:rsidR="00C0297C">
              <w:rPr>
                <w:noProof/>
                <w:webHidden/>
              </w:rPr>
              <w:fldChar w:fldCharType="end"/>
            </w:r>
          </w:hyperlink>
        </w:p>
        <w:p w14:paraId="54A75038" w14:textId="5E0779CA"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95" w:history="1">
            <w:r w:rsidR="00C0297C" w:rsidRPr="00F203CD">
              <w:rPr>
                <w:rStyle w:val="Hypertextovodkaz"/>
                <w:noProof/>
              </w:rPr>
              <w:t>4.3</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Podniková struktura zemědělství</w:t>
            </w:r>
            <w:r w:rsidR="00C0297C">
              <w:rPr>
                <w:noProof/>
                <w:webHidden/>
              </w:rPr>
              <w:tab/>
            </w:r>
            <w:r w:rsidR="00C0297C">
              <w:rPr>
                <w:noProof/>
                <w:webHidden/>
              </w:rPr>
              <w:fldChar w:fldCharType="begin"/>
            </w:r>
            <w:r w:rsidR="00C0297C">
              <w:rPr>
                <w:noProof/>
                <w:webHidden/>
              </w:rPr>
              <w:instrText xml:space="preserve"> PAGEREF _Toc81752195 \h </w:instrText>
            </w:r>
            <w:r w:rsidR="00C0297C">
              <w:rPr>
                <w:noProof/>
                <w:webHidden/>
              </w:rPr>
            </w:r>
            <w:r w:rsidR="00C0297C">
              <w:rPr>
                <w:noProof/>
                <w:webHidden/>
              </w:rPr>
              <w:fldChar w:fldCharType="separate"/>
            </w:r>
            <w:r w:rsidR="00C0297C">
              <w:rPr>
                <w:noProof/>
                <w:webHidden/>
              </w:rPr>
              <w:t>24</w:t>
            </w:r>
            <w:r w:rsidR="00C0297C">
              <w:rPr>
                <w:noProof/>
                <w:webHidden/>
              </w:rPr>
              <w:fldChar w:fldCharType="end"/>
            </w:r>
          </w:hyperlink>
        </w:p>
        <w:p w14:paraId="31BD4FFB" w14:textId="57B6F6F4"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196" w:history="1">
            <w:r w:rsidR="00C0297C" w:rsidRPr="00F203CD">
              <w:rPr>
                <w:rStyle w:val="Hypertextovodkaz"/>
                <w:noProof/>
              </w:rPr>
              <w:t>5</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Existence / neexistence možnosti efektivního řešení v rámci nástrojů SZP, které lze uvažovat v nových návrzích SZP</w:t>
            </w:r>
            <w:r w:rsidR="00C0297C">
              <w:rPr>
                <w:noProof/>
                <w:webHidden/>
              </w:rPr>
              <w:tab/>
            </w:r>
            <w:r w:rsidR="00C0297C">
              <w:rPr>
                <w:noProof/>
                <w:webHidden/>
              </w:rPr>
              <w:fldChar w:fldCharType="begin"/>
            </w:r>
            <w:r w:rsidR="00C0297C">
              <w:rPr>
                <w:noProof/>
                <w:webHidden/>
              </w:rPr>
              <w:instrText xml:space="preserve"> PAGEREF _Toc81752196 \h </w:instrText>
            </w:r>
            <w:r w:rsidR="00C0297C">
              <w:rPr>
                <w:noProof/>
                <w:webHidden/>
              </w:rPr>
            </w:r>
            <w:r w:rsidR="00C0297C">
              <w:rPr>
                <w:noProof/>
                <w:webHidden/>
              </w:rPr>
              <w:fldChar w:fldCharType="separate"/>
            </w:r>
            <w:r w:rsidR="00C0297C">
              <w:rPr>
                <w:noProof/>
                <w:webHidden/>
              </w:rPr>
              <w:t>25</w:t>
            </w:r>
            <w:r w:rsidR="00C0297C">
              <w:rPr>
                <w:noProof/>
                <w:webHidden/>
              </w:rPr>
              <w:fldChar w:fldCharType="end"/>
            </w:r>
          </w:hyperlink>
        </w:p>
        <w:p w14:paraId="46B22FA4" w14:textId="0A8FCE6F"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97" w:history="1">
            <w:r w:rsidR="00C0297C" w:rsidRPr="00F203CD">
              <w:rPr>
                <w:rStyle w:val="Hypertextovodkaz"/>
                <w:noProof/>
              </w:rPr>
              <w:t>5.1</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Grantová podpora na zahájení činnosti mladého zemědělce</w:t>
            </w:r>
            <w:r w:rsidR="00C0297C">
              <w:rPr>
                <w:noProof/>
                <w:webHidden/>
              </w:rPr>
              <w:tab/>
            </w:r>
            <w:r w:rsidR="00C0297C">
              <w:rPr>
                <w:noProof/>
                <w:webHidden/>
              </w:rPr>
              <w:fldChar w:fldCharType="begin"/>
            </w:r>
            <w:r w:rsidR="00C0297C">
              <w:rPr>
                <w:noProof/>
                <w:webHidden/>
              </w:rPr>
              <w:instrText xml:space="preserve"> PAGEREF _Toc81752197 \h </w:instrText>
            </w:r>
            <w:r w:rsidR="00C0297C">
              <w:rPr>
                <w:noProof/>
                <w:webHidden/>
              </w:rPr>
            </w:r>
            <w:r w:rsidR="00C0297C">
              <w:rPr>
                <w:noProof/>
                <w:webHidden/>
              </w:rPr>
              <w:fldChar w:fldCharType="separate"/>
            </w:r>
            <w:r w:rsidR="00C0297C">
              <w:rPr>
                <w:noProof/>
                <w:webHidden/>
              </w:rPr>
              <w:t>25</w:t>
            </w:r>
            <w:r w:rsidR="00C0297C">
              <w:rPr>
                <w:noProof/>
                <w:webHidden/>
              </w:rPr>
              <w:fldChar w:fldCharType="end"/>
            </w:r>
          </w:hyperlink>
        </w:p>
        <w:p w14:paraId="3CDA9027" w14:textId="7EEDBCB3"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98" w:history="1">
            <w:r w:rsidR="00C0297C" w:rsidRPr="00F203CD">
              <w:rPr>
                <w:rStyle w:val="Hypertextovodkaz"/>
                <w:noProof/>
              </w:rPr>
              <w:t>5.2</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Doplňková podpora příjmu pro mladé zemědělce</w:t>
            </w:r>
            <w:r w:rsidR="00C0297C">
              <w:rPr>
                <w:noProof/>
                <w:webHidden/>
              </w:rPr>
              <w:tab/>
            </w:r>
            <w:r w:rsidR="00C0297C">
              <w:rPr>
                <w:noProof/>
                <w:webHidden/>
              </w:rPr>
              <w:fldChar w:fldCharType="begin"/>
            </w:r>
            <w:r w:rsidR="00C0297C">
              <w:rPr>
                <w:noProof/>
                <w:webHidden/>
              </w:rPr>
              <w:instrText xml:space="preserve"> PAGEREF _Toc81752198 \h </w:instrText>
            </w:r>
            <w:r w:rsidR="00C0297C">
              <w:rPr>
                <w:noProof/>
                <w:webHidden/>
              </w:rPr>
            </w:r>
            <w:r w:rsidR="00C0297C">
              <w:rPr>
                <w:noProof/>
                <w:webHidden/>
              </w:rPr>
              <w:fldChar w:fldCharType="separate"/>
            </w:r>
            <w:r w:rsidR="00C0297C">
              <w:rPr>
                <w:noProof/>
                <w:webHidden/>
              </w:rPr>
              <w:t>26</w:t>
            </w:r>
            <w:r w:rsidR="00C0297C">
              <w:rPr>
                <w:noProof/>
                <w:webHidden/>
              </w:rPr>
              <w:fldChar w:fldCharType="end"/>
            </w:r>
          </w:hyperlink>
        </w:p>
        <w:p w14:paraId="27D8FF63" w14:textId="32D8A5FA"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199" w:history="1">
            <w:r w:rsidR="00C0297C" w:rsidRPr="00F203CD">
              <w:rPr>
                <w:rStyle w:val="Hypertextovodkaz"/>
                <w:noProof/>
              </w:rPr>
              <w:t>5.3</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Grantová podpora v kombinaci s finančními nástroji</w:t>
            </w:r>
            <w:r w:rsidR="00C0297C">
              <w:rPr>
                <w:noProof/>
                <w:webHidden/>
              </w:rPr>
              <w:tab/>
            </w:r>
            <w:r w:rsidR="00C0297C">
              <w:rPr>
                <w:noProof/>
                <w:webHidden/>
              </w:rPr>
              <w:fldChar w:fldCharType="begin"/>
            </w:r>
            <w:r w:rsidR="00C0297C">
              <w:rPr>
                <w:noProof/>
                <w:webHidden/>
              </w:rPr>
              <w:instrText xml:space="preserve"> PAGEREF _Toc81752199 \h </w:instrText>
            </w:r>
            <w:r w:rsidR="00C0297C">
              <w:rPr>
                <w:noProof/>
                <w:webHidden/>
              </w:rPr>
            </w:r>
            <w:r w:rsidR="00C0297C">
              <w:rPr>
                <w:noProof/>
                <w:webHidden/>
              </w:rPr>
              <w:fldChar w:fldCharType="separate"/>
            </w:r>
            <w:r w:rsidR="00C0297C">
              <w:rPr>
                <w:noProof/>
                <w:webHidden/>
              </w:rPr>
              <w:t>26</w:t>
            </w:r>
            <w:r w:rsidR="00C0297C">
              <w:rPr>
                <w:noProof/>
                <w:webHidden/>
              </w:rPr>
              <w:fldChar w:fldCharType="end"/>
            </w:r>
          </w:hyperlink>
        </w:p>
        <w:p w14:paraId="4ACA3CED" w14:textId="46814674"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0" w:history="1">
            <w:r w:rsidR="00C0297C" w:rsidRPr="00F203CD">
              <w:rPr>
                <w:rStyle w:val="Hypertextovodkaz"/>
                <w:noProof/>
              </w:rPr>
              <w:t>5.4</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Nástroje Evropské investiční banky</w:t>
            </w:r>
            <w:r w:rsidR="00C0297C">
              <w:rPr>
                <w:noProof/>
                <w:webHidden/>
              </w:rPr>
              <w:tab/>
            </w:r>
            <w:r w:rsidR="00C0297C">
              <w:rPr>
                <w:noProof/>
                <w:webHidden/>
              </w:rPr>
              <w:fldChar w:fldCharType="begin"/>
            </w:r>
            <w:r w:rsidR="00C0297C">
              <w:rPr>
                <w:noProof/>
                <w:webHidden/>
              </w:rPr>
              <w:instrText xml:space="preserve"> PAGEREF _Toc81752200 \h </w:instrText>
            </w:r>
            <w:r w:rsidR="00C0297C">
              <w:rPr>
                <w:noProof/>
                <w:webHidden/>
              </w:rPr>
            </w:r>
            <w:r w:rsidR="00C0297C">
              <w:rPr>
                <w:noProof/>
                <w:webHidden/>
              </w:rPr>
              <w:fldChar w:fldCharType="separate"/>
            </w:r>
            <w:r w:rsidR="00C0297C">
              <w:rPr>
                <w:noProof/>
                <w:webHidden/>
              </w:rPr>
              <w:t>27</w:t>
            </w:r>
            <w:r w:rsidR="00C0297C">
              <w:rPr>
                <w:noProof/>
                <w:webHidden/>
              </w:rPr>
              <w:fldChar w:fldCharType="end"/>
            </w:r>
          </w:hyperlink>
        </w:p>
        <w:p w14:paraId="4B902045" w14:textId="5B322258"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1" w:history="1">
            <w:r w:rsidR="00C0297C" w:rsidRPr="00F203CD">
              <w:rPr>
                <w:rStyle w:val="Hypertextovodkaz"/>
                <w:noProof/>
              </w:rPr>
              <w:t>5.5</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Motivování studentů zemědělských škol stážemi / praxí v zemědělských podnicích</w:t>
            </w:r>
            <w:r w:rsidR="00C0297C">
              <w:rPr>
                <w:noProof/>
                <w:webHidden/>
              </w:rPr>
              <w:tab/>
            </w:r>
            <w:r w:rsidR="00C0297C">
              <w:rPr>
                <w:noProof/>
                <w:webHidden/>
              </w:rPr>
              <w:fldChar w:fldCharType="begin"/>
            </w:r>
            <w:r w:rsidR="00C0297C">
              <w:rPr>
                <w:noProof/>
                <w:webHidden/>
              </w:rPr>
              <w:instrText xml:space="preserve"> PAGEREF _Toc81752201 \h </w:instrText>
            </w:r>
            <w:r w:rsidR="00C0297C">
              <w:rPr>
                <w:noProof/>
                <w:webHidden/>
              </w:rPr>
            </w:r>
            <w:r w:rsidR="00C0297C">
              <w:rPr>
                <w:noProof/>
                <w:webHidden/>
              </w:rPr>
              <w:fldChar w:fldCharType="separate"/>
            </w:r>
            <w:r w:rsidR="00C0297C">
              <w:rPr>
                <w:noProof/>
                <w:webHidden/>
              </w:rPr>
              <w:t>27</w:t>
            </w:r>
            <w:r w:rsidR="00C0297C">
              <w:rPr>
                <w:noProof/>
                <w:webHidden/>
              </w:rPr>
              <w:fldChar w:fldCharType="end"/>
            </w:r>
          </w:hyperlink>
        </w:p>
        <w:p w14:paraId="7332DE8A" w14:textId="4D918E14"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2" w:history="1">
            <w:r w:rsidR="00C0297C" w:rsidRPr="00F203CD">
              <w:rPr>
                <w:rStyle w:val="Hypertextovodkaz"/>
                <w:noProof/>
              </w:rPr>
              <w:t>5.6</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Stimulace získávání absolventů zemědělských oborů poskytováním náborových příspěvků</w:t>
            </w:r>
            <w:r w:rsidR="00C0297C">
              <w:rPr>
                <w:noProof/>
                <w:webHidden/>
              </w:rPr>
              <w:tab/>
            </w:r>
            <w:r w:rsidR="00C0297C">
              <w:rPr>
                <w:noProof/>
                <w:webHidden/>
              </w:rPr>
              <w:fldChar w:fldCharType="begin"/>
            </w:r>
            <w:r w:rsidR="00C0297C">
              <w:rPr>
                <w:noProof/>
                <w:webHidden/>
              </w:rPr>
              <w:instrText xml:space="preserve"> PAGEREF _Toc81752202 \h </w:instrText>
            </w:r>
            <w:r w:rsidR="00C0297C">
              <w:rPr>
                <w:noProof/>
                <w:webHidden/>
              </w:rPr>
            </w:r>
            <w:r w:rsidR="00C0297C">
              <w:rPr>
                <w:noProof/>
                <w:webHidden/>
              </w:rPr>
              <w:fldChar w:fldCharType="separate"/>
            </w:r>
            <w:r w:rsidR="00C0297C">
              <w:rPr>
                <w:noProof/>
                <w:webHidden/>
              </w:rPr>
              <w:t>28</w:t>
            </w:r>
            <w:r w:rsidR="00C0297C">
              <w:rPr>
                <w:noProof/>
                <w:webHidden/>
              </w:rPr>
              <w:fldChar w:fldCharType="end"/>
            </w:r>
          </w:hyperlink>
        </w:p>
        <w:p w14:paraId="01904E6B" w14:textId="337FE5F7"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3" w:history="1">
            <w:r w:rsidR="00C0297C" w:rsidRPr="00F203CD">
              <w:rPr>
                <w:rStyle w:val="Hypertextovodkaz"/>
                <w:noProof/>
              </w:rPr>
              <w:t>5.7</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Vytváření příznivého obrazu zemědělství v očích veřejnosti</w:t>
            </w:r>
            <w:r w:rsidR="00C0297C">
              <w:rPr>
                <w:noProof/>
                <w:webHidden/>
              </w:rPr>
              <w:tab/>
            </w:r>
            <w:r w:rsidR="00C0297C">
              <w:rPr>
                <w:noProof/>
                <w:webHidden/>
              </w:rPr>
              <w:fldChar w:fldCharType="begin"/>
            </w:r>
            <w:r w:rsidR="00C0297C">
              <w:rPr>
                <w:noProof/>
                <w:webHidden/>
              </w:rPr>
              <w:instrText xml:space="preserve"> PAGEREF _Toc81752203 \h </w:instrText>
            </w:r>
            <w:r w:rsidR="00C0297C">
              <w:rPr>
                <w:noProof/>
                <w:webHidden/>
              </w:rPr>
            </w:r>
            <w:r w:rsidR="00C0297C">
              <w:rPr>
                <w:noProof/>
                <w:webHidden/>
              </w:rPr>
              <w:fldChar w:fldCharType="separate"/>
            </w:r>
            <w:r w:rsidR="00C0297C">
              <w:rPr>
                <w:noProof/>
                <w:webHidden/>
              </w:rPr>
              <w:t>28</w:t>
            </w:r>
            <w:r w:rsidR="00C0297C">
              <w:rPr>
                <w:noProof/>
                <w:webHidden/>
              </w:rPr>
              <w:fldChar w:fldCharType="end"/>
            </w:r>
          </w:hyperlink>
        </w:p>
        <w:p w14:paraId="181D2322" w14:textId="39CE0995"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4" w:history="1">
            <w:r w:rsidR="00C0297C" w:rsidRPr="00F203CD">
              <w:rPr>
                <w:rStyle w:val="Hypertextovodkaz"/>
                <w:noProof/>
              </w:rPr>
              <w:t>5.8</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Shrnutí</w:t>
            </w:r>
            <w:r w:rsidR="00C0297C">
              <w:rPr>
                <w:noProof/>
                <w:webHidden/>
              </w:rPr>
              <w:tab/>
            </w:r>
            <w:r w:rsidR="00C0297C">
              <w:rPr>
                <w:noProof/>
                <w:webHidden/>
              </w:rPr>
              <w:fldChar w:fldCharType="begin"/>
            </w:r>
            <w:r w:rsidR="00C0297C">
              <w:rPr>
                <w:noProof/>
                <w:webHidden/>
              </w:rPr>
              <w:instrText xml:space="preserve"> PAGEREF _Toc81752204 \h </w:instrText>
            </w:r>
            <w:r w:rsidR="00C0297C">
              <w:rPr>
                <w:noProof/>
                <w:webHidden/>
              </w:rPr>
            </w:r>
            <w:r w:rsidR="00C0297C">
              <w:rPr>
                <w:noProof/>
                <w:webHidden/>
              </w:rPr>
              <w:fldChar w:fldCharType="separate"/>
            </w:r>
            <w:r w:rsidR="00C0297C">
              <w:rPr>
                <w:noProof/>
                <w:webHidden/>
              </w:rPr>
              <w:t>28</w:t>
            </w:r>
            <w:r w:rsidR="00C0297C">
              <w:rPr>
                <w:noProof/>
                <w:webHidden/>
              </w:rPr>
              <w:fldChar w:fldCharType="end"/>
            </w:r>
          </w:hyperlink>
        </w:p>
        <w:p w14:paraId="30D9950A" w14:textId="78A7C1D0"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205" w:history="1">
            <w:r w:rsidR="00C0297C" w:rsidRPr="00F203CD">
              <w:rPr>
                <w:rStyle w:val="Hypertextovodkaz"/>
                <w:noProof/>
              </w:rPr>
              <w:t>6</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Míra stávajícího řešení problému</w:t>
            </w:r>
            <w:r w:rsidR="00C0297C">
              <w:rPr>
                <w:noProof/>
                <w:webHidden/>
              </w:rPr>
              <w:tab/>
            </w:r>
            <w:r w:rsidR="00C0297C">
              <w:rPr>
                <w:noProof/>
                <w:webHidden/>
              </w:rPr>
              <w:fldChar w:fldCharType="begin"/>
            </w:r>
            <w:r w:rsidR="00C0297C">
              <w:rPr>
                <w:noProof/>
                <w:webHidden/>
              </w:rPr>
              <w:instrText xml:space="preserve"> PAGEREF _Toc81752205 \h </w:instrText>
            </w:r>
            <w:r w:rsidR="00C0297C">
              <w:rPr>
                <w:noProof/>
                <w:webHidden/>
              </w:rPr>
            </w:r>
            <w:r w:rsidR="00C0297C">
              <w:rPr>
                <w:noProof/>
                <w:webHidden/>
              </w:rPr>
              <w:fldChar w:fldCharType="separate"/>
            </w:r>
            <w:r w:rsidR="00C0297C">
              <w:rPr>
                <w:noProof/>
                <w:webHidden/>
              </w:rPr>
              <w:t>29</w:t>
            </w:r>
            <w:r w:rsidR="00C0297C">
              <w:rPr>
                <w:noProof/>
                <w:webHidden/>
              </w:rPr>
              <w:fldChar w:fldCharType="end"/>
            </w:r>
          </w:hyperlink>
        </w:p>
        <w:p w14:paraId="26375CC4" w14:textId="1A81E889"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6" w:history="1">
            <w:r w:rsidR="00C0297C" w:rsidRPr="00F203CD">
              <w:rPr>
                <w:rStyle w:val="Hypertextovodkaz"/>
                <w:noProof/>
              </w:rPr>
              <w:t>6.1</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Míra řešení ve stávající SZP</w:t>
            </w:r>
            <w:r w:rsidR="00C0297C">
              <w:rPr>
                <w:noProof/>
                <w:webHidden/>
              </w:rPr>
              <w:tab/>
            </w:r>
            <w:r w:rsidR="00C0297C">
              <w:rPr>
                <w:noProof/>
                <w:webHidden/>
              </w:rPr>
              <w:fldChar w:fldCharType="begin"/>
            </w:r>
            <w:r w:rsidR="00C0297C">
              <w:rPr>
                <w:noProof/>
                <w:webHidden/>
              </w:rPr>
              <w:instrText xml:space="preserve"> PAGEREF _Toc81752206 \h </w:instrText>
            </w:r>
            <w:r w:rsidR="00C0297C">
              <w:rPr>
                <w:noProof/>
                <w:webHidden/>
              </w:rPr>
            </w:r>
            <w:r w:rsidR="00C0297C">
              <w:rPr>
                <w:noProof/>
                <w:webHidden/>
              </w:rPr>
              <w:fldChar w:fldCharType="separate"/>
            </w:r>
            <w:r w:rsidR="00C0297C">
              <w:rPr>
                <w:noProof/>
                <w:webHidden/>
              </w:rPr>
              <w:t>29</w:t>
            </w:r>
            <w:r w:rsidR="00C0297C">
              <w:rPr>
                <w:noProof/>
                <w:webHidden/>
              </w:rPr>
              <w:fldChar w:fldCharType="end"/>
            </w:r>
          </w:hyperlink>
        </w:p>
        <w:p w14:paraId="34EE88E8" w14:textId="53A65D34"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207" w:history="1">
            <w:r w:rsidR="00C0297C" w:rsidRPr="00F203CD">
              <w:rPr>
                <w:rStyle w:val="Hypertextovodkaz"/>
                <w:noProof/>
                <w:lang w:val="cs-CZ"/>
              </w:rPr>
              <w:t>6.1.1</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1. pilíř SZP – přímé platby</w:t>
            </w:r>
            <w:r w:rsidR="00C0297C">
              <w:rPr>
                <w:noProof/>
                <w:webHidden/>
              </w:rPr>
              <w:tab/>
            </w:r>
            <w:r w:rsidR="00C0297C">
              <w:rPr>
                <w:noProof/>
                <w:webHidden/>
              </w:rPr>
              <w:fldChar w:fldCharType="begin"/>
            </w:r>
            <w:r w:rsidR="00C0297C">
              <w:rPr>
                <w:noProof/>
                <w:webHidden/>
              </w:rPr>
              <w:instrText xml:space="preserve"> PAGEREF _Toc81752207 \h </w:instrText>
            </w:r>
            <w:r w:rsidR="00C0297C">
              <w:rPr>
                <w:noProof/>
                <w:webHidden/>
              </w:rPr>
            </w:r>
            <w:r w:rsidR="00C0297C">
              <w:rPr>
                <w:noProof/>
                <w:webHidden/>
              </w:rPr>
              <w:fldChar w:fldCharType="separate"/>
            </w:r>
            <w:r w:rsidR="00C0297C">
              <w:rPr>
                <w:noProof/>
                <w:webHidden/>
              </w:rPr>
              <w:t>29</w:t>
            </w:r>
            <w:r w:rsidR="00C0297C">
              <w:rPr>
                <w:noProof/>
                <w:webHidden/>
              </w:rPr>
              <w:fldChar w:fldCharType="end"/>
            </w:r>
          </w:hyperlink>
        </w:p>
        <w:p w14:paraId="3E07093B" w14:textId="7E4B2599"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208" w:history="1">
            <w:r w:rsidR="00C0297C" w:rsidRPr="00F203CD">
              <w:rPr>
                <w:rStyle w:val="Hypertextovodkaz"/>
                <w:noProof/>
                <w:lang w:val="cs-CZ"/>
              </w:rPr>
              <w:t>6.1.2</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2. pilíř SZP – Program rozvoje venkova</w:t>
            </w:r>
            <w:r w:rsidR="00C0297C">
              <w:rPr>
                <w:noProof/>
                <w:webHidden/>
              </w:rPr>
              <w:tab/>
            </w:r>
            <w:r w:rsidR="00C0297C">
              <w:rPr>
                <w:noProof/>
                <w:webHidden/>
              </w:rPr>
              <w:fldChar w:fldCharType="begin"/>
            </w:r>
            <w:r w:rsidR="00C0297C">
              <w:rPr>
                <w:noProof/>
                <w:webHidden/>
              </w:rPr>
              <w:instrText xml:space="preserve"> PAGEREF _Toc81752208 \h </w:instrText>
            </w:r>
            <w:r w:rsidR="00C0297C">
              <w:rPr>
                <w:noProof/>
                <w:webHidden/>
              </w:rPr>
            </w:r>
            <w:r w:rsidR="00C0297C">
              <w:rPr>
                <w:noProof/>
                <w:webHidden/>
              </w:rPr>
              <w:fldChar w:fldCharType="separate"/>
            </w:r>
            <w:r w:rsidR="00C0297C">
              <w:rPr>
                <w:noProof/>
                <w:webHidden/>
              </w:rPr>
              <w:t>30</w:t>
            </w:r>
            <w:r w:rsidR="00C0297C">
              <w:rPr>
                <w:noProof/>
                <w:webHidden/>
              </w:rPr>
              <w:fldChar w:fldCharType="end"/>
            </w:r>
          </w:hyperlink>
        </w:p>
        <w:p w14:paraId="2EF9EF91" w14:textId="11823D7A"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09" w:history="1">
            <w:r w:rsidR="00C0297C" w:rsidRPr="00F203CD">
              <w:rPr>
                <w:rStyle w:val="Hypertextovodkaz"/>
                <w:noProof/>
              </w:rPr>
              <w:t>6.2</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Míra současného řešení problému jinými politikami</w:t>
            </w:r>
            <w:r w:rsidR="00C0297C">
              <w:rPr>
                <w:noProof/>
                <w:webHidden/>
              </w:rPr>
              <w:tab/>
            </w:r>
            <w:r w:rsidR="00C0297C">
              <w:rPr>
                <w:noProof/>
                <w:webHidden/>
              </w:rPr>
              <w:fldChar w:fldCharType="begin"/>
            </w:r>
            <w:r w:rsidR="00C0297C">
              <w:rPr>
                <w:noProof/>
                <w:webHidden/>
              </w:rPr>
              <w:instrText xml:space="preserve"> PAGEREF _Toc81752209 \h </w:instrText>
            </w:r>
            <w:r w:rsidR="00C0297C">
              <w:rPr>
                <w:noProof/>
                <w:webHidden/>
              </w:rPr>
            </w:r>
            <w:r w:rsidR="00C0297C">
              <w:rPr>
                <w:noProof/>
                <w:webHidden/>
              </w:rPr>
              <w:fldChar w:fldCharType="separate"/>
            </w:r>
            <w:r w:rsidR="00C0297C">
              <w:rPr>
                <w:noProof/>
                <w:webHidden/>
              </w:rPr>
              <w:t>32</w:t>
            </w:r>
            <w:r w:rsidR="00C0297C">
              <w:rPr>
                <w:noProof/>
                <w:webHidden/>
              </w:rPr>
              <w:fldChar w:fldCharType="end"/>
            </w:r>
          </w:hyperlink>
        </w:p>
        <w:p w14:paraId="456868A4" w14:textId="53FBEC64"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210" w:history="1">
            <w:r w:rsidR="00C0297C" w:rsidRPr="00F203CD">
              <w:rPr>
                <w:rStyle w:val="Hypertextovodkaz"/>
                <w:noProof/>
                <w:lang w:val="cs-CZ"/>
              </w:rPr>
              <w:t>6.2.1</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Podpůrný garanční rolnický a lesnický fond (PGRLF)</w:t>
            </w:r>
            <w:r w:rsidR="00C0297C">
              <w:rPr>
                <w:noProof/>
                <w:webHidden/>
              </w:rPr>
              <w:tab/>
            </w:r>
            <w:r w:rsidR="00C0297C">
              <w:rPr>
                <w:noProof/>
                <w:webHidden/>
              </w:rPr>
              <w:fldChar w:fldCharType="begin"/>
            </w:r>
            <w:r w:rsidR="00C0297C">
              <w:rPr>
                <w:noProof/>
                <w:webHidden/>
              </w:rPr>
              <w:instrText xml:space="preserve"> PAGEREF _Toc81752210 \h </w:instrText>
            </w:r>
            <w:r w:rsidR="00C0297C">
              <w:rPr>
                <w:noProof/>
                <w:webHidden/>
              </w:rPr>
            </w:r>
            <w:r w:rsidR="00C0297C">
              <w:rPr>
                <w:noProof/>
                <w:webHidden/>
              </w:rPr>
              <w:fldChar w:fldCharType="separate"/>
            </w:r>
            <w:r w:rsidR="00C0297C">
              <w:rPr>
                <w:noProof/>
                <w:webHidden/>
              </w:rPr>
              <w:t>32</w:t>
            </w:r>
            <w:r w:rsidR="00C0297C">
              <w:rPr>
                <w:noProof/>
                <w:webHidden/>
              </w:rPr>
              <w:fldChar w:fldCharType="end"/>
            </w:r>
          </w:hyperlink>
        </w:p>
        <w:p w14:paraId="518322AF" w14:textId="008495B9"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211" w:history="1">
            <w:r w:rsidR="00C0297C" w:rsidRPr="00F203CD">
              <w:rPr>
                <w:rStyle w:val="Hypertextovodkaz"/>
                <w:noProof/>
                <w:lang w:val="cs-CZ"/>
              </w:rPr>
              <w:t>6.2.2</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Daňové zvýhodnění</w:t>
            </w:r>
            <w:r w:rsidR="00C0297C">
              <w:rPr>
                <w:noProof/>
                <w:webHidden/>
              </w:rPr>
              <w:tab/>
            </w:r>
            <w:r w:rsidR="00C0297C">
              <w:rPr>
                <w:noProof/>
                <w:webHidden/>
              </w:rPr>
              <w:fldChar w:fldCharType="begin"/>
            </w:r>
            <w:r w:rsidR="00C0297C">
              <w:rPr>
                <w:noProof/>
                <w:webHidden/>
              </w:rPr>
              <w:instrText xml:space="preserve"> PAGEREF _Toc81752211 \h </w:instrText>
            </w:r>
            <w:r w:rsidR="00C0297C">
              <w:rPr>
                <w:noProof/>
                <w:webHidden/>
              </w:rPr>
            </w:r>
            <w:r w:rsidR="00C0297C">
              <w:rPr>
                <w:noProof/>
                <w:webHidden/>
              </w:rPr>
              <w:fldChar w:fldCharType="separate"/>
            </w:r>
            <w:r w:rsidR="00C0297C">
              <w:rPr>
                <w:noProof/>
                <w:webHidden/>
              </w:rPr>
              <w:t>34</w:t>
            </w:r>
            <w:r w:rsidR="00C0297C">
              <w:rPr>
                <w:noProof/>
                <w:webHidden/>
              </w:rPr>
              <w:fldChar w:fldCharType="end"/>
            </w:r>
          </w:hyperlink>
        </w:p>
        <w:p w14:paraId="2ED67BE0" w14:textId="2F65449E" w:rsidR="00C0297C" w:rsidRDefault="00C534D0">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752212" w:history="1">
            <w:r w:rsidR="00C0297C" w:rsidRPr="00F203CD">
              <w:rPr>
                <w:rStyle w:val="Hypertextovodkaz"/>
                <w:noProof/>
                <w:lang w:val="cs-CZ"/>
              </w:rPr>
              <w:t>6.2.3</w:t>
            </w:r>
            <w:r w:rsidR="00C0297C">
              <w:rPr>
                <w:rFonts w:asciiTheme="minorHAnsi" w:eastAsiaTheme="minorEastAsia" w:hAnsiTheme="minorHAnsi"/>
                <w:i w:val="0"/>
                <w:iCs w:val="0"/>
                <w:noProof/>
                <w:sz w:val="24"/>
                <w:szCs w:val="24"/>
                <w:lang w:val="cs-CZ" w:eastAsia="cs-CZ"/>
              </w:rPr>
              <w:tab/>
            </w:r>
            <w:r w:rsidR="00C0297C" w:rsidRPr="00F203CD">
              <w:rPr>
                <w:rStyle w:val="Hypertextovodkaz"/>
                <w:noProof/>
                <w:lang w:val="cs-CZ"/>
              </w:rPr>
              <w:t>Národní dotace na poradenství a vzdělávání</w:t>
            </w:r>
            <w:r w:rsidR="00C0297C">
              <w:rPr>
                <w:noProof/>
                <w:webHidden/>
              </w:rPr>
              <w:tab/>
            </w:r>
            <w:r w:rsidR="00C0297C">
              <w:rPr>
                <w:noProof/>
                <w:webHidden/>
              </w:rPr>
              <w:fldChar w:fldCharType="begin"/>
            </w:r>
            <w:r w:rsidR="00C0297C">
              <w:rPr>
                <w:noProof/>
                <w:webHidden/>
              </w:rPr>
              <w:instrText xml:space="preserve"> PAGEREF _Toc81752212 \h </w:instrText>
            </w:r>
            <w:r w:rsidR="00C0297C">
              <w:rPr>
                <w:noProof/>
                <w:webHidden/>
              </w:rPr>
            </w:r>
            <w:r w:rsidR="00C0297C">
              <w:rPr>
                <w:noProof/>
                <w:webHidden/>
              </w:rPr>
              <w:fldChar w:fldCharType="separate"/>
            </w:r>
            <w:r w:rsidR="00C0297C">
              <w:rPr>
                <w:noProof/>
                <w:webHidden/>
              </w:rPr>
              <w:t>35</w:t>
            </w:r>
            <w:r w:rsidR="00C0297C">
              <w:rPr>
                <w:noProof/>
                <w:webHidden/>
              </w:rPr>
              <w:fldChar w:fldCharType="end"/>
            </w:r>
          </w:hyperlink>
        </w:p>
        <w:p w14:paraId="755B1438" w14:textId="1C59BB60"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213" w:history="1">
            <w:r w:rsidR="00C0297C" w:rsidRPr="00F203CD">
              <w:rPr>
                <w:rStyle w:val="Hypertextovodkaz"/>
                <w:noProof/>
              </w:rPr>
              <w:t>7</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Jak by se situace vyvíjela bez zavedení příslušných intervencí?</w:t>
            </w:r>
            <w:r w:rsidR="00C0297C">
              <w:rPr>
                <w:noProof/>
                <w:webHidden/>
              </w:rPr>
              <w:tab/>
            </w:r>
            <w:r w:rsidR="00C0297C">
              <w:rPr>
                <w:noProof/>
                <w:webHidden/>
              </w:rPr>
              <w:fldChar w:fldCharType="begin"/>
            </w:r>
            <w:r w:rsidR="00C0297C">
              <w:rPr>
                <w:noProof/>
                <w:webHidden/>
              </w:rPr>
              <w:instrText xml:space="preserve"> PAGEREF _Toc81752213 \h </w:instrText>
            </w:r>
            <w:r w:rsidR="00C0297C">
              <w:rPr>
                <w:noProof/>
                <w:webHidden/>
              </w:rPr>
            </w:r>
            <w:r w:rsidR="00C0297C">
              <w:rPr>
                <w:noProof/>
                <w:webHidden/>
              </w:rPr>
              <w:fldChar w:fldCharType="separate"/>
            </w:r>
            <w:r w:rsidR="00C0297C">
              <w:rPr>
                <w:noProof/>
                <w:webHidden/>
              </w:rPr>
              <w:t>36</w:t>
            </w:r>
            <w:r w:rsidR="00C0297C">
              <w:rPr>
                <w:noProof/>
                <w:webHidden/>
              </w:rPr>
              <w:fldChar w:fldCharType="end"/>
            </w:r>
          </w:hyperlink>
        </w:p>
        <w:p w14:paraId="42238C00" w14:textId="2DD350A3" w:rsidR="00C0297C" w:rsidRDefault="00C534D0">
          <w:pPr>
            <w:pStyle w:val="Obsah1"/>
            <w:tabs>
              <w:tab w:val="left" w:pos="480"/>
            </w:tabs>
            <w:rPr>
              <w:rFonts w:asciiTheme="minorHAnsi" w:eastAsiaTheme="minorEastAsia" w:hAnsiTheme="minorHAnsi"/>
              <w:b w:val="0"/>
              <w:bCs w:val="0"/>
              <w:caps w:val="0"/>
              <w:noProof/>
              <w:sz w:val="24"/>
              <w:szCs w:val="24"/>
              <w:lang w:val="cs-CZ" w:eastAsia="cs-CZ"/>
            </w:rPr>
          </w:pPr>
          <w:hyperlink w:anchor="_Toc81752214" w:history="1">
            <w:r w:rsidR="00C0297C" w:rsidRPr="00F203CD">
              <w:rPr>
                <w:rStyle w:val="Hypertextovodkaz"/>
                <w:noProof/>
              </w:rPr>
              <w:t>8</w:t>
            </w:r>
            <w:r w:rsidR="00C0297C">
              <w:rPr>
                <w:rFonts w:asciiTheme="minorHAnsi" w:eastAsiaTheme="minorEastAsia" w:hAnsiTheme="minorHAnsi"/>
                <w:b w:val="0"/>
                <w:bCs w:val="0"/>
                <w:caps w:val="0"/>
                <w:noProof/>
                <w:sz w:val="24"/>
                <w:szCs w:val="24"/>
                <w:lang w:val="cs-CZ" w:eastAsia="cs-CZ"/>
              </w:rPr>
              <w:tab/>
            </w:r>
            <w:r w:rsidR="00C0297C" w:rsidRPr="00F203CD">
              <w:rPr>
                <w:rStyle w:val="Hypertextovodkaz"/>
                <w:noProof/>
              </w:rPr>
              <w:t>SWOT analýza</w:t>
            </w:r>
            <w:r w:rsidR="00C0297C">
              <w:rPr>
                <w:noProof/>
                <w:webHidden/>
              </w:rPr>
              <w:tab/>
            </w:r>
            <w:r w:rsidR="00C0297C">
              <w:rPr>
                <w:noProof/>
                <w:webHidden/>
              </w:rPr>
              <w:fldChar w:fldCharType="begin"/>
            </w:r>
            <w:r w:rsidR="00C0297C">
              <w:rPr>
                <w:noProof/>
                <w:webHidden/>
              </w:rPr>
              <w:instrText xml:space="preserve"> PAGEREF _Toc81752214 \h </w:instrText>
            </w:r>
            <w:r w:rsidR="00C0297C">
              <w:rPr>
                <w:noProof/>
                <w:webHidden/>
              </w:rPr>
            </w:r>
            <w:r w:rsidR="00C0297C">
              <w:rPr>
                <w:noProof/>
                <w:webHidden/>
              </w:rPr>
              <w:fldChar w:fldCharType="separate"/>
            </w:r>
            <w:r w:rsidR="00C0297C">
              <w:rPr>
                <w:noProof/>
                <w:webHidden/>
              </w:rPr>
              <w:t>38</w:t>
            </w:r>
            <w:r w:rsidR="00C0297C">
              <w:rPr>
                <w:noProof/>
                <w:webHidden/>
              </w:rPr>
              <w:fldChar w:fldCharType="end"/>
            </w:r>
          </w:hyperlink>
        </w:p>
        <w:p w14:paraId="68BEA5F4" w14:textId="0A98BCD9"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15" w:history="1">
            <w:r w:rsidR="00C0297C" w:rsidRPr="00F203CD">
              <w:rPr>
                <w:rStyle w:val="Hypertextovodkaz"/>
                <w:noProof/>
              </w:rPr>
              <w:t>8.1</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Silné stránky</w:t>
            </w:r>
            <w:r w:rsidR="00C0297C">
              <w:rPr>
                <w:noProof/>
                <w:webHidden/>
              </w:rPr>
              <w:tab/>
            </w:r>
            <w:r w:rsidR="00C0297C">
              <w:rPr>
                <w:noProof/>
                <w:webHidden/>
              </w:rPr>
              <w:fldChar w:fldCharType="begin"/>
            </w:r>
            <w:r w:rsidR="00C0297C">
              <w:rPr>
                <w:noProof/>
                <w:webHidden/>
              </w:rPr>
              <w:instrText xml:space="preserve"> PAGEREF _Toc81752215 \h </w:instrText>
            </w:r>
            <w:r w:rsidR="00C0297C">
              <w:rPr>
                <w:noProof/>
                <w:webHidden/>
              </w:rPr>
            </w:r>
            <w:r w:rsidR="00C0297C">
              <w:rPr>
                <w:noProof/>
                <w:webHidden/>
              </w:rPr>
              <w:fldChar w:fldCharType="separate"/>
            </w:r>
            <w:r w:rsidR="00C0297C">
              <w:rPr>
                <w:noProof/>
                <w:webHidden/>
              </w:rPr>
              <w:t>38</w:t>
            </w:r>
            <w:r w:rsidR="00C0297C">
              <w:rPr>
                <w:noProof/>
                <w:webHidden/>
              </w:rPr>
              <w:fldChar w:fldCharType="end"/>
            </w:r>
          </w:hyperlink>
        </w:p>
        <w:p w14:paraId="74F16631" w14:textId="67A1F08F"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16" w:history="1">
            <w:r w:rsidR="00C0297C" w:rsidRPr="00F203CD">
              <w:rPr>
                <w:rStyle w:val="Hypertextovodkaz"/>
                <w:noProof/>
              </w:rPr>
              <w:t>8.2</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Slabé stránky</w:t>
            </w:r>
            <w:r w:rsidR="00C0297C">
              <w:rPr>
                <w:noProof/>
                <w:webHidden/>
              </w:rPr>
              <w:tab/>
            </w:r>
            <w:r w:rsidR="00C0297C">
              <w:rPr>
                <w:noProof/>
                <w:webHidden/>
              </w:rPr>
              <w:fldChar w:fldCharType="begin"/>
            </w:r>
            <w:r w:rsidR="00C0297C">
              <w:rPr>
                <w:noProof/>
                <w:webHidden/>
              </w:rPr>
              <w:instrText xml:space="preserve"> PAGEREF _Toc81752216 \h </w:instrText>
            </w:r>
            <w:r w:rsidR="00C0297C">
              <w:rPr>
                <w:noProof/>
                <w:webHidden/>
              </w:rPr>
            </w:r>
            <w:r w:rsidR="00C0297C">
              <w:rPr>
                <w:noProof/>
                <w:webHidden/>
              </w:rPr>
              <w:fldChar w:fldCharType="separate"/>
            </w:r>
            <w:r w:rsidR="00C0297C">
              <w:rPr>
                <w:noProof/>
                <w:webHidden/>
              </w:rPr>
              <w:t>38</w:t>
            </w:r>
            <w:r w:rsidR="00C0297C">
              <w:rPr>
                <w:noProof/>
                <w:webHidden/>
              </w:rPr>
              <w:fldChar w:fldCharType="end"/>
            </w:r>
          </w:hyperlink>
        </w:p>
        <w:p w14:paraId="6BEA5CDC" w14:textId="16E918A4"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17" w:history="1">
            <w:r w:rsidR="00C0297C" w:rsidRPr="00F203CD">
              <w:rPr>
                <w:rStyle w:val="Hypertextovodkaz"/>
                <w:noProof/>
              </w:rPr>
              <w:t>8.3</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Příležitosti</w:t>
            </w:r>
            <w:r w:rsidR="00C0297C">
              <w:rPr>
                <w:noProof/>
                <w:webHidden/>
              </w:rPr>
              <w:tab/>
            </w:r>
            <w:r w:rsidR="00C0297C">
              <w:rPr>
                <w:noProof/>
                <w:webHidden/>
              </w:rPr>
              <w:fldChar w:fldCharType="begin"/>
            </w:r>
            <w:r w:rsidR="00C0297C">
              <w:rPr>
                <w:noProof/>
                <w:webHidden/>
              </w:rPr>
              <w:instrText xml:space="preserve"> PAGEREF _Toc81752217 \h </w:instrText>
            </w:r>
            <w:r w:rsidR="00C0297C">
              <w:rPr>
                <w:noProof/>
                <w:webHidden/>
              </w:rPr>
            </w:r>
            <w:r w:rsidR="00C0297C">
              <w:rPr>
                <w:noProof/>
                <w:webHidden/>
              </w:rPr>
              <w:fldChar w:fldCharType="separate"/>
            </w:r>
            <w:r w:rsidR="00C0297C">
              <w:rPr>
                <w:noProof/>
                <w:webHidden/>
              </w:rPr>
              <w:t>39</w:t>
            </w:r>
            <w:r w:rsidR="00C0297C">
              <w:rPr>
                <w:noProof/>
                <w:webHidden/>
              </w:rPr>
              <w:fldChar w:fldCharType="end"/>
            </w:r>
          </w:hyperlink>
        </w:p>
        <w:p w14:paraId="18F955E4" w14:textId="44D6DDEE" w:rsidR="00C0297C" w:rsidRDefault="00C534D0">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52218" w:history="1">
            <w:r w:rsidR="00C0297C" w:rsidRPr="00F203CD">
              <w:rPr>
                <w:rStyle w:val="Hypertextovodkaz"/>
                <w:noProof/>
              </w:rPr>
              <w:t>8.4</w:t>
            </w:r>
            <w:r w:rsidR="00C0297C">
              <w:rPr>
                <w:rFonts w:asciiTheme="minorHAnsi" w:eastAsiaTheme="minorEastAsia" w:hAnsiTheme="minorHAnsi"/>
                <w:smallCaps w:val="0"/>
                <w:noProof/>
                <w:sz w:val="24"/>
                <w:szCs w:val="24"/>
                <w:lang w:val="cs-CZ" w:eastAsia="cs-CZ"/>
              </w:rPr>
              <w:tab/>
            </w:r>
            <w:r w:rsidR="00C0297C" w:rsidRPr="00F203CD">
              <w:rPr>
                <w:rStyle w:val="Hypertextovodkaz"/>
                <w:noProof/>
              </w:rPr>
              <w:t>Hrozby</w:t>
            </w:r>
            <w:r w:rsidR="00C0297C">
              <w:rPr>
                <w:noProof/>
                <w:webHidden/>
              </w:rPr>
              <w:tab/>
            </w:r>
            <w:r w:rsidR="00C0297C">
              <w:rPr>
                <w:noProof/>
                <w:webHidden/>
              </w:rPr>
              <w:fldChar w:fldCharType="begin"/>
            </w:r>
            <w:r w:rsidR="00C0297C">
              <w:rPr>
                <w:noProof/>
                <w:webHidden/>
              </w:rPr>
              <w:instrText xml:space="preserve"> PAGEREF _Toc81752218 \h </w:instrText>
            </w:r>
            <w:r w:rsidR="00C0297C">
              <w:rPr>
                <w:noProof/>
                <w:webHidden/>
              </w:rPr>
            </w:r>
            <w:r w:rsidR="00C0297C">
              <w:rPr>
                <w:noProof/>
                <w:webHidden/>
              </w:rPr>
              <w:fldChar w:fldCharType="separate"/>
            </w:r>
            <w:r w:rsidR="00C0297C">
              <w:rPr>
                <w:noProof/>
                <w:webHidden/>
              </w:rPr>
              <w:t>40</w:t>
            </w:r>
            <w:r w:rsidR="00C0297C">
              <w:rPr>
                <w:noProof/>
                <w:webHidden/>
              </w:rPr>
              <w:fldChar w:fldCharType="end"/>
            </w:r>
          </w:hyperlink>
        </w:p>
        <w:p w14:paraId="618A08EE" w14:textId="3060C9F2" w:rsidR="0000288B" w:rsidRPr="002B7246" w:rsidRDefault="0000288B">
          <w:pPr>
            <w:rPr>
              <w:rFonts w:cs="Times New Roman"/>
              <w:sz w:val="20"/>
              <w:lang w:val="cs-CZ"/>
            </w:rPr>
          </w:pPr>
          <w:r w:rsidRPr="002B7246">
            <w:rPr>
              <w:rFonts w:cs="Times New Roman"/>
              <w:b/>
              <w:bCs/>
              <w:sz w:val="20"/>
              <w:lang w:val="cs-CZ"/>
            </w:rPr>
            <w:fldChar w:fldCharType="end"/>
          </w:r>
        </w:p>
      </w:sdtContent>
    </w:sdt>
    <w:p w14:paraId="07858A33" w14:textId="77777777" w:rsidR="0000288B" w:rsidRPr="002B7246" w:rsidRDefault="0000288B" w:rsidP="0000288B">
      <w:pPr>
        <w:rPr>
          <w:rFonts w:cs="Times New Roman"/>
          <w:sz w:val="20"/>
          <w:lang w:val="cs-CZ"/>
        </w:rPr>
      </w:pPr>
    </w:p>
    <w:p w14:paraId="766E3D9E" w14:textId="77777777" w:rsidR="00C91401" w:rsidRPr="002B7246" w:rsidRDefault="00C91401">
      <w:pPr>
        <w:spacing w:after="160" w:line="259" w:lineRule="auto"/>
        <w:jc w:val="left"/>
        <w:rPr>
          <w:rFonts w:eastAsiaTheme="majorEastAsia" w:cs="Times New Roman"/>
          <w:b/>
          <w:bCs/>
          <w:sz w:val="20"/>
          <w:szCs w:val="32"/>
          <w:lang w:val="cs-CZ"/>
        </w:rPr>
      </w:pPr>
      <w:bookmarkStart w:id="3" w:name="_Toc80347910"/>
      <w:bookmarkStart w:id="4" w:name="_Toc80348397"/>
      <w:r w:rsidRPr="002B7246">
        <w:rPr>
          <w:rFonts w:cs="Times New Roman"/>
          <w:sz w:val="20"/>
        </w:rPr>
        <w:br w:type="page"/>
      </w:r>
    </w:p>
    <w:p w14:paraId="2913840C" w14:textId="41C324F9" w:rsidR="00B87E14" w:rsidRPr="004643E9" w:rsidRDefault="00B87E14" w:rsidP="00C2596B">
      <w:pPr>
        <w:pStyle w:val="Nadpis1"/>
      </w:pPr>
      <w:bookmarkStart w:id="5" w:name="_Toc81752167"/>
      <w:r w:rsidRPr="004643E9">
        <w:lastRenderedPageBreak/>
        <w:t>Analýza navrhovaných právních předpisů EK / ČR a</w:t>
      </w:r>
      <w:r w:rsidR="00034B70" w:rsidRPr="004643E9">
        <w:t> </w:t>
      </w:r>
      <w:r w:rsidRPr="004643E9">
        <w:t>pravděpodobné nastavení směrů a cílů SZP</w:t>
      </w:r>
      <w:bookmarkEnd w:id="3"/>
      <w:bookmarkEnd w:id="4"/>
      <w:bookmarkEnd w:id="5"/>
    </w:p>
    <w:p w14:paraId="2F5634C3" w14:textId="4A3A58DE" w:rsidR="00C35E53" w:rsidRPr="00C2596B" w:rsidRDefault="00B87E14" w:rsidP="00C2596B">
      <w:pPr>
        <w:pStyle w:val="UZEINormaln"/>
      </w:pPr>
      <w:r w:rsidRPr="00C2596B">
        <w:t>Následující kapitola představuje přehled legislativy, které určuje nastavení směrů, cílů a pravidel v SZP podle právních předpisů EK.</w:t>
      </w:r>
    </w:p>
    <w:p w14:paraId="5AC4C4F4" w14:textId="4FD9BAF9" w:rsidR="00C35E53" w:rsidRPr="00892DB5" w:rsidRDefault="00C35E53" w:rsidP="00C2596B">
      <w:pPr>
        <w:pStyle w:val="Nadpis2"/>
      </w:pPr>
      <w:bookmarkStart w:id="6" w:name="_Toc81752168"/>
      <w:r w:rsidRPr="00892DB5">
        <w:t>Návrh nařízení Evropského parlamentu a Rady</w:t>
      </w:r>
      <w:bookmarkEnd w:id="6"/>
    </w:p>
    <w:p w14:paraId="3BCC8202" w14:textId="0539A8BB" w:rsidR="00B87E14" w:rsidRPr="002E17B7" w:rsidRDefault="00B87E14" w:rsidP="002E17B7">
      <w:pPr>
        <w:pStyle w:val="UZEIOdrky"/>
      </w:pPr>
      <w:r w:rsidRPr="002E17B7">
        <w:t xml:space="preserve">Návrh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 </w:t>
      </w:r>
      <w:r w:rsidR="0086054E" w:rsidRPr="002E17B7">
        <w:t>D</w:t>
      </w:r>
      <w:r w:rsidRPr="002E17B7">
        <w:t xml:space="preserve">okument </w:t>
      </w:r>
      <w:r w:rsidR="0086054E" w:rsidRPr="002E17B7">
        <w:t>byl vydán</w:t>
      </w:r>
      <w:r w:rsidRPr="002E17B7">
        <w:t xml:space="preserve"> </w:t>
      </w:r>
      <w:r w:rsidR="0086054E" w:rsidRPr="002E17B7">
        <w:t>dne</w:t>
      </w:r>
      <w:r w:rsidRPr="002E17B7">
        <w:t> 1. 6. 2018. Generační obnova spadá pod specifický cíl G – přilákání mladých zemědělců a usnadnění rozvoje podnikání ve venkovských oblastech.</w:t>
      </w:r>
    </w:p>
    <w:p w14:paraId="2FA460DE" w14:textId="77777777" w:rsidR="00B87E14" w:rsidRPr="00892DB5" w:rsidRDefault="00B87E14" w:rsidP="004E216F">
      <w:pPr>
        <w:pStyle w:val="UZEINormaln"/>
        <w:rPr>
          <w:noProof/>
        </w:rPr>
      </w:pPr>
      <w:r w:rsidRPr="00892DB5">
        <w:rPr>
          <w:noProof/>
        </w:rPr>
        <w:t xml:space="preserve">V preambuli </w:t>
      </w:r>
      <w:r w:rsidRPr="00892DB5">
        <w:rPr>
          <w:i/>
          <w:noProof/>
        </w:rPr>
        <w:t>Návrhu nařízení</w:t>
      </w:r>
      <w:r w:rsidRPr="00892DB5">
        <w:rPr>
          <w:noProof/>
        </w:rPr>
        <w:t xml:space="preserve"> v bodě (10) je uvedeno, že by měla být stanovena definice výrazu „mladý zemědělec“. V bodě (16) je zmiňováno zabránění odlivu mladých lidí v souladu s Cork 2.0 sociální a hospodářskou strukturu v těchto oblastech, zejména vytvářením pracovních míst a generační obměnou. Podle bodu (27) by při poskytování přímé podpory oddělené od produkce na základě systému platebních nároků členské státy měly i nadále spravovat národní rezervu a</w:t>
      </w:r>
      <w:r w:rsidRPr="00892DB5">
        <w:rPr>
          <w:b/>
          <w:noProof/>
        </w:rPr>
        <w:t xml:space="preserve"> </w:t>
      </w:r>
      <w:r w:rsidRPr="00892DB5">
        <w:rPr>
          <w:noProof/>
        </w:rPr>
        <w:t xml:space="preserve">prioritně jí použít pro mladé zemědělce a zemědělce zahajující zemědělskou činnost. V bodě (30) je zdůvodněna potřeba poskytovat doplňkový příjem po zahájení činnosti. Bod (42) říká, že by mělo být podporováno využívání záruk InvestEU a kombinace grantů a finančních nástrojů pro zaplnění investiční mezery a zlepšení přístupu k finančním nástrojům mladým zemědělcům a nováčkům s rizikovějším profilem. Členské státy by měly stanovit cíle, příjemce a preferenční podmínky a pravidla způsobilosti. Bod (43) uznává, že mladí zemědělci a nováčci stále čelí výrazným bariérám, co se týče přístupu k půdě, vysokým cenám a přístupu k úvěrům. Jejich podniky jsou více ohroženy nestálostí cen a mají vysoké potřeby v oblasti získávání obchodních dovedností a dovedností pro řízení rizik. Je proto důležité pokračovat v podpoře zakládání nových podniků a hospodářství. Členské státy by měly zastávat strategický postoj a určit jasný a soudržný soubor ntervencí pro obnovu populace v rámci specifických cílů věnovaných této problematice. Členské státy mohou stanovit ve svých strategických plánech SZP preferenční podmínky finančních nástrojů pro mladé zemědělce a nováčky a měly by do svých strategických plánů SZP zahrnout vyčlenění částky odpovídající alespoň 2% krytí ročních přímých plateb. Ustanoveno by mělo být zvýšení maximální částky pomoci až na 100 000 eur. </w:t>
      </w:r>
    </w:p>
    <w:p w14:paraId="5024EBD4" w14:textId="77777777" w:rsidR="00B87E14" w:rsidRPr="00892DB5" w:rsidRDefault="00B87E14" w:rsidP="004E216F">
      <w:pPr>
        <w:pStyle w:val="UZEINormaln"/>
        <w:rPr>
          <w:noProof/>
        </w:rPr>
      </w:pPr>
      <w:r w:rsidRPr="00892DB5">
        <w:t xml:space="preserve">Podle článku 4, odstavce 1, bodu e) je nutné vymezit definici </w:t>
      </w:r>
      <w:r w:rsidRPr="00892DB5">
        <w:rPr>
          <w:noProof/>
        </w:rPr>
        <w:t xml:space="preserve">„mladého zemědělce“, aby obsahovala maximální věkovou hranici (40 let), podmínky, za kterých lze být „vedoucím zemědělského podniku“ a požadovanou odbornou přípravu nebo dovednosti. </w:t>
      </w:r>
    </w:p>
    <w:p w14:paraId="33781349" w14:textId="77777777" w:rsidR="00B87E14" w:rsidRPr="00892DB5" w:rsidRDefault="00B87E14" w:rsidP="004E216F">
      <w:pPr>
        <w:pStyle w:val="UZEINormaln"/>
        <w:rPr>
          <w:noProof/>
        </w:rPr>
      </w:pPr>
      <w:r w:rsidRPr="00892DB5">
        <w:t xml:space="preserve">V rámci článku 22, bodě 4. je specifikováno, že by se vnitrostátní rezerva měla využít k přidělování platebních nároků </w:t>
      </w:r>
      <w:r w:rsidRPr="00892DB5">
        <w:rPr>
          <w:noProof/>
        </w:rPr>
        <w:t xml:space="preserve">mladým zemědělcům, kteří poprvé založili nový zemědělský podnik a </w:t>
      </w:r>
      <w:r w:rsidRPr="00892DB5">
        <w:rPr>
          <w:noProof/>
        </w:rPr>
        <w:tab/>
        <w:t>zemědělcům, kteří poprvé založili nový zemědělský podnik jako vedoucí tohoto podniku a mají vhodnou odbornou přípravu nebo získali nezbytné dovednosti, jež členské státy pro mladé zemědělce stanovily.</w:t>
      </w:r>
    </w:p>
    <w:p w14:paraId="2088A73F" w14:textId="77777777" w:rsidR="00B87E14" w:rsidRPr="00892DB5" w:rsidRDefault="00B87E14" w:rsidP="004E216F">
      <w:pPr>
        <w:pStyle w:val="UZEINormaln"/>
        <w:rPr>
          <w:noProof/>
        </w:rPr>
      </w:pPr>
      <w:r w:rsidRPr="00892DB5">
        <w:t xml:space="preserve">Článek 27 v bodě 2. a 3. specifikuje doplňkovou podporu příjmu mladých zemědělců, na kterou by členské státy </w:t>
      </w:r>
      <w:r w:rsidRPr="00892DB5">
        <w:rPr>
          <w:noProof/>
        </w:rPr>
        <w:t xml:space="preserve">mají vyčlenit alespoň 2 % svých přídělů určených pro přímé platby na cíl generační obměny. Doplňková podpora příjmu se poskytuje mladým zemědělcům, kteří poprvé založili nový zemědělský podnik a kteří mají nárok na platbu v rámci základní podpory příjmu podle článku 17. </w:t>
      </w:r>
      <w:r w:rsidRPr="00892DB5">
        <w:t>M</w:t>
      </w:r>
      <w:r w:rsidRPr="00892DB5">
        <w:rPr>
          <w:noProof/>
        </w:rPr>
        <w:t>á podobu roční platby oddělené od produkce na způsobilý hektar.</w:t>
      </w:r>
    </w:p>
    <w:p w14:paraId="3584D98E" w14:textId="77777777" w:rsidR="00B87E14" w:rsidRPr="00892DB5" w:rsidRDefault="00B87E14" w:rsidP="004E216F">
      <w:pPr>
        <w:pStyle w:val="UZEINormaln"/>
      </w:pPr>
      <w:r w:rsidRPr="00892DB5">
        <w:lastRenderedPageBreak/>
        <w:t>V článku 68, bodě 3. c) je řečeno, že je zachována možnost pro mladé zemědělce nakupovat pozemky za využití finančních nástrojů. Jinak by se jednalo o nezpůsobilou investici.</w:t>
      </w:r>
    </w:p>
    <w:p w14:paraId="449AE2DE" w14:textId="77777777" w:rsidR="00B87E14" w:rsidRPr="00892DB5" w:rsidRDefault="00B87E14" w:rsidP="004E216F">
      <w:pPr>
        <w:pStyle w:val="UZEINormaln"/>
        <w:rPr>
          <w:noProof/>
        </w:rPr>
      </w:pPr>
      <w:r w:rsidRPr="00892DB5">
        <w:t xml:space="preserve">K zahájení činnosti mladého zemědělce se vztahuje článek 69. </w:t>
      </w:r>
      <w:r w:rsidRPr="00892DB5">
        <w:rPr>
          <w:noProof/>
        </w:rPr>
        <w:t>Členské státy mohou poskytnout podporu, aby pomohly: založení činnosti mladých zemědělců, kteří splňují podmínky (maximální věková hranice 40 let, jsou „vedoucími zemědělského podniku“ a mají požadovanou odbornou přípravu nebo dovednosti), založení venkovské podnikatelské činnosti spojené se zemědělstvím a lesnictvím nebo diverzifikací příjmů domácností zemědělců, založení podnikatelské činnosti s nezemědělskou aktivitou ve venkovských oblastech jako součást strategie místního rozvoje. Členské státy stanoví podmínky předložení a obsah podnikatelského plánu. Členské státy udělí podporu formou jednorázové částky. Podpora je omezena maximální částkou 100 000 EUR a lze ji kombinovat s finančními nástroji.</w:t>
      </w:r>
    </w:p>
    <w:p w14:paraId="04FE4707" w14:textId="77777777" w:rsidR="00B87E14" w:rsidRPr="00892DB5" w:rsidRDefault="00B87E14" w:rsidP="004E216F">
      <w:pPr>
        <w:pStyle w:val="UZEINormaln"/>
        <w:rPr>
          <w:noProof/>
        </w:rPr>
      </w:pPr>
      <w:r w:rsidRPr="00892DB5">
        <w:t>Jestliže by se využila i možnost spolupráce zemědělců se školami, řídilo by se poskytování dotací článkem 71 o spolupráci. Podle bodu 2. mohou č</w:t>
      </w:r>
      <w:r w:rsidRPr="00892DB5">
        <w:rPr>
          <w:noProof/>
        </w:rPr>
        <w:t xml:space="preserve">lenské státy udělit podporu v rámci tohoto typu intervence pouze na takové formy spolupráce, které zahrnují alespoň dva subjekty a přispívají k plnění specifických cílů. Dále mohou v rámci tohoto typu intervence pokrýt náklady související se všemi aspekty spolupráce a udělit podporu jako úhrnnou částku pokrývající náklady na spolupráci a náklady na realizované projekty a operace nebo mohou pokrýt pouze náklady na spolupráci a použít jiné fondy. V bodě 7 je uvedeno, že v případě spolupráce v kontextu předávání zemědělských podniků z generace na generaci mohou členské státy udělit podporu pouze zemědělcům, kteří dle vnitrostátní legislativy dosáhli důchodového věku. </w:t>
      </w:r>
      <w:r w:rsidRPr="00892DB5">
        <w:t>P</w:t>
      </w:r>
      <w:r w:rsidRPr="00892DB5">
        <w:rPr>
          <w:noProof/>
        </w:rPr>
        <w:t>odpora je omezena na sedm let.</w:t>
      </w:r>
    </w:p>
    <w:p w14:paraId="29F78BFF" w14:textId="77777777" w:rsidR="00B87E14" w:rsidRPr="00892DB5" w:rsidRDefault="00B87E14" w:rsidP="004E216F">
      <w:pPr>
        <w:pStyle w:val="UZEINormaln"/>
        <w:rPr>
          <w:noProof/>
        </w:rPr>
      </w:pPr>
      <w:r w:rsidRPr="00892DB5">
        <w:rPr>
          <w:noProof/>
        </w:rPr>
        <w:t xml:space="preserve">Článek 73, bod 1 říká, že řídicí orgán strategického plánu SZP nebo jiný určený zprostředkující subjekt definuje kritéria výběru pro: investice, založení činnosti mladého zemědělce a venkovského podnikatelského startupu, spolupráce, výměna znalostí a informací, následné konzultace s monitorovacím výborem. Kritéria výběru by měla zajistit rovné zacházení s žadateli, lepší využívání finančních prostředků a zacílení v souladu se záměrem intervencí. </w:t>
      </w:r>
    </w:p>
    <w:p w14:paraId="18C26ECF" w14:textId="77777777" w:rsidR="00B87E14" w:rsidRPr="00892DB5" w:rsidRDefault="00B87E14" w:rsidP="004E216F">
      <w:pPr>
        <w:pStyle w:val="UZEINormaln"/>
      </w:pPr>
      <w:r w:rsidRPr="00892DB5">
        <w:rPr>
          <w:noProof/>
        </w:rPr>
        <w:t xml:space="preserve">Článek 86 v bodě 4 definuje </w:t>
      </w:r>
      <w:r w:rsidRPr="00892DB5">
        <w:t>minimální částku (v příloze X) vyhrazenou na příspěvek na specifický cíl „získávat mladé zemědělce a usnadňovat rozvoj podnikání ve venkovských oblastech“ podle čl. 6 odst. 1 písm. g). Na základě analýzy situace z hlediska silných a slabých stránek, příležitostí a hrozeb a identifikace potřeb, které je třeba řešit, bude tato částka použita na doplňkovou podporu příjmu pro mladé zemědělce podle článku 27 a založení činnosti mladého zemědělce podle definice v článku 69.</w:t>
      </w:r>
    </w:p>
    <w:p w14:paraId="7621C560" w14:textId="77777777" w:rsidR="00B87E14" w:rsidRPr="00892DB5" w:rsidRDefault="00B87E14" w:rsidP="004E216F">
      <w:pPr>
        <w:pStyle w:val="UZEINormaln"/>
      </w:pPr>
      <w:r w:rsidRPr="00892DB5">
        <w:t>V rámci článku 90 je definována i finanční flexibilita mezi přímými platbami a příděly z EZFRV. Je možné převést až 2 p. b. na doplňkovou podporu příjmu pro mladé zemědělce podle článku 27 a na založení činnosti mladého zemědělce podle definice v článku 69.</w:t>
      </w:r>
    </w:p>
    <w:p w14:paraId="4EBCC597" w14:textId="561E3AF9" w:rsidR="00892DB5" w:rsidRDefault="00B87E14" w:rsidP="004E216F">
      <w:pPr>
        <w:pStyle w:val="UZEINormaln"/>
      </w:pPr>
      <w:r w:rsidRPr="00892DB5">
        <w:t xml:space="preserve">SWOT analýza se řídí </w:t>
      </w:r>
      <w:r w:rsidRPr="00892DB5">
        <w:rPr>
          <w:i/>
        </w:rPr>
        <w:t>Návrhem nařízení</w:t>
      </w:r>
      <w:r w:rsidRPr="00892DB5">
        <w:t>, čl. 103, odst. 2, kde u specifického cíle získávání mladých zemědělců uvedeného v čl. 6 odst. 1 písm. g) jsou kladeny následující požadavky: obsahuje krátkou analýzu přístupu k půdě, půdní mobility a restrukturalizace půdy, přístupu k financím a úvěrům a přístupu ke znalostem a poradenství.</w:t>
      </w:r>
    </w:p>
    <w:p w14:paraId="5B79DCF1" w14:textId="5F5265C4" w:rsidR="00892DB5" w:rsidRPr="00892DB5" w:rsidRDefault="00892DB5" w:rsidP="00531FDA">
      <w:pPr>
        <w:pStyle w:val="Nadpis2"/>
      </w:pPr>
      <w:bookmarkStart w:id="7" w:name="_Toc81752169"/>
      <w:r>
        <w:t>Zákony a předpisy ČR</w:t>
      </w:r>
      <w:bookmarkEnd w:id="7"/>
    </w:p>
    <w:p w14:paraId="2DA6C0A7" w14:textId="77777777" w:rsidR="00B87E14" w:rsidRPr="00892DB5" w:rsidRDefault="00B87E14" w:rsidP="00980628">
      <w:pPr>
        <w:pStyle w:val="UZEINormaln"/>
      </w:pPr>
      <w:r w:rsidRPr="00892DB5">
        <w:t>Pokud se jedná o zákony a předpisy na území ČR, které ovlivňují generační obměnu, jde především o následující:</w:t>
      </w:r>
    </w:p>
    <w:p w14:paraId="71399A49" w14:textId="77777777" w:rsidR="00B87E14" w:rsidRPr="00892DB5" w:rsidRDefault="00B87E14" w:rsidP="00AA63B9">
      <w:pPr>
        <w:pStyle w:val="UZEIOdrky"/>
      </w:pPr>
      <w:r w:rsidRPr="00892DB5">
        <w:t>Zákon č. 252/1997 Sb., o zemědělství v aktuálním znění od 1. 12. 2017</w:t>
      </w:r>
    </w:p>
    <w:p w14:paraId="51BD3818" w14:textId="50DE4B1E" w:rsidR="00B87E14" w:rsidRPr="00892DB5" w:rsidRDefault="00B87E14" w:rsidP="00AA63B9">
      <w:pPr>
        <w:pStyle w:val="UZEIOdrky"/>
      </w:pPr>
      <w:r w:rsidRPr="00892DB5">
        <w:t xml:space="preserve">Zákon č. 254/2016 Sb., kterým se mění zákonné opatření Senátu č. 340/2013 Sb., o dani z nabytí nemovitých věcí, s účinností od 1. listopadu 2016 upravující osvobození od daně z převodu nemovitých věcí. Toto zákonné opatření Senátu č. 340/2013 Sb. </w:t>
      </w:r>
      <w:r w:rsidRPr="00892DB5">
        <w:lastRenderedPageBreak/>
        <w:t>zrušilo k 1.1.2014 původní zákon č. 357/1992 Sb. o dani dědické, dani darovací a dani z převodu nemovitostí.</w:t>
      </w:r>
    </w:p>
    <w:p w14:paraId="631DCD2E" w14:textId="1485FEB4" w:rsidR="00B87E14" w:rsidRPr="00892DB5" w:rsidRDefault="00B87E14" w:rsidP="00531FDA">
      <w:pPr>
        <w:pStyle w:val="Nadpis2"/>
      </w:pPr>
      <w:bookmarkStart w:id="8" w:name="_Toc81752170"/>
      <w:r w:rsidRPr="00892DB5">
        <w:t>Strategické a koncepční dokumenty ČR</w:t>
      </w:r>
      <w:bookmarkEnd w:id="8"/>
    </w:p>
    <w:p w14:paraId="09553D19" w14:textId="77777777" w:rsidR="00B87E14" w:rsidRPr="00892DB5" w:rsidRDefault="00B87E14" w:rsidP="00AA63B9">
      <w:pPr>
        <w:pStyle w:val="UZEIOdrky"/>
      </w:pPr>
      <w:r w:rsidRPr="00892DB5">
        <w:t>Strategie resortu Ministerstva zemědělství České republiky s výhledem do roku 2030 (MZe, 2016a)</w:t>
      </w:r>
    </w:p>
    <w:p w14:paraId="2615A454" w14:textId="77777777" w:rsidR="00B87E14" w:rsidRPr="00892DB5" w:rsidRDefault="00B87E14" w:rsidP="00AA63B9">
      <w:pPr>
        <w:pStyle w:val="UZEIOdrky"/>
      </w:pPr>
      <w:r w:rsidRPr="00892DB5">
        <w:t>Koncepce výzkumu, vývoje a inovací Ministerstva zemědělství na léta 2016–2022 (MZe, 2016b)</w:t>
      </w:r>
    </w:p>
    <w:p w14:paraId="274DDF7E" w14:textId="77777777" w:rsidR="00B87E14" w:rsidRPr="00892DB5" w:rsidRDefault="00B87E14" w:rsidP="00AA63B9">
      <w:pPr>
        <w:pStyle w:val="UZEIOdrky"/>
      </w:pPr>
      <w:r w:rsidRPr="00892DB5">
        <w:t>Koncepce vzdělávání Ministerstva zemědělství na období 2015 až 2020 (MZe, 2014)</w:t>
      </w:r>
    </w:p>
    <w:p w14:paraId="7183A85B" w14:textId="77777777" w:rsidR="00B87E14" w:rsidRPr="00892DB5" w:rsidRDefault="00B87E14" w:rsidP="00AA63B9">
      <w:pPr>
        <w:pStyle w:val="UZEIOdrky"/>
      </w:pPr>
      <w:r w:rsidRPr="00892DB5">
        <w:t>Koncepce poradenského systému Ministerstva zemědělství na období 2017–2025 (MZe, 2016)</w:t>
      </w:r>
    </w:p>
    <w:p w14:paraId="127145B2" w14:textId="55C2C38A" w:rsidR="00B87E14" w:rsidRPr="00AA63B9" w:rsidRDefault="00B87E14" w:rsidP="00AA63B9">
      <w:pPr>
        <w:pStyle w:val="UZEIOdrky"/>
      </w:pPr>
      <w:r w:rsidRPr="00892DB5">
        <w:t>Politika územního rozvoje ČR, aktualizace č.1 (2015) – (MMR, 2015)</w:t>
      </w:r>
      <w:bookmarkStart w:id="9" w:name="_Toc80347911"/>
    </w:p>
    <w:p w14:paraId="1E8B7051" w14:textId="0528FBBE" w:rsidR="00B87E14" w:rsidRPr="00892DB5" w:rsidRDefault="004643E9" w:rsidP="005A2A38">
      <w:pPr>
        <w:pStyle w:val="Nadpis2"/>
      </w:pPr>
      <w:bookmarkStart w:id="10" w:name="_Toc80348398"/>
      <w:r>
        <w:t xml:space="preserve"> </w:t>
      </w:r>
      <w:bookmarkStart w:id="11" w:name="_Toc81752171"/>
      <w:r w:rsidR="00B87E14" w:rsidRPr="00892DB5">
        <w:t>Přehled znění legislativy</w:t>
      </w:r>
      <w:bookmarkEnd w:id="9"/>
      <w:bookmarkEnd w:id="10"/>
      <w:bookmarkEnd w:id="11"/>
    </w:p>
    <w:p w14:paraId="6660A52C" w14:textId="12708889" w:rsidR="00B87E14" w:rsidRPr="00AA63B9" w:rsidRDefault="00B87E14" w:rsidP="00AA63B9">
      <w:pPr>
        <w:pStyle w:val="UZEINormaln"/>
        <w:rPr>
          <w:b/>
          <w:bCs/>
        </w:rPr>
      </w:pPr>
      <w:r w:rsidRPr="00AA63B9">
        <w:rPr>
          <w:b/>
          <w:bCs/>
        </w:rPr>
        <w:t>Návrh nařízení Evropského parlamentu a Rady, kterým se stanoví pravidla podpory pro strategické plány</w:t>
      </w:r>
      <w:r w:rsidR="00556ADE">
        <w:rPr>
          <w:b/>
          <w:bCs/>
        </w:rPr>
        <w:t>:</w:t>
      </w:r>
    </w:p>
    <w:p w14:paraId="24AD6958" w14:textId="77777777" w:rsidR="00B87E14" w:rsidRPr="00892DB5" w:rsidRDefault="00B87E14" w:rsidP="0031504D">
      <w:pPr>
        <w:pStyle w:val="UZEINormaln"/>
        <w:rPr>
          <w:noProof/>
        </w:rPr>
      </w:pPr>
      <w:r w:rsidRPr="00892DB5">
        <w:t>Návrh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 (aktuální k datu 1. 6. 2018)</w:t>
      </w:r>
    </w:p>
    <w:p w14:paraId="2BAF1F13" w14:textId="77777777" w:rsidR="00B87E14" w:rsidRPr="00C35E53" w:rsidRDefault="00B87E14" w:rsidP="00C35E53">
      <w:pPr>
        <w:pStyle w:val="Podnadpis"/>
      </w:pPr>
      <w:r w:rsidRPr="00C35E53">
        <w:t>Preambule Návrhu nařízení</w:t>
      </w:r>
    </w:p>
    <w:p w14:paraId="7847E807" w14:textId="77777777" w:rsidR="00B87E14" w:rsidRPr="00892DB5" w:rsidRDefault="00B87E14" w:rsidP="00B87E14">
      <w:pPr>
        <w:pStyle w:val="ManualConsidrant"/>
        <w:ind w:left="1560" w:hanging="851"/>
        <w:rPr>
          <w:noProof/>
        </w:rPr>
      </w:pPr>
      <w:r w:rsidRPr="00892DB5">
        <w:t>(10)</w:t>
      </w:r>
      <w:r w:rsidRPr="00892DB5">
        <w:tab/>
      </w:r>
      <w:r w:rsidRPr="00892DB5">
        <w:rPr>
          <w:noProof/>
        </w:rPr>
        <w:t xml:space="preserve">Aby byla zajištěna konzistentnost mezi typy intervencí ve formě přímých plateb a typy intervencí zaměřených na rozvoj venkova při plnění cíle obnovy populace, měla by být na unijní úrovni </w:t>
      </w:r>
      <w:r w:rsidRPr="00892DB5">
        <w:rPr>
          <w:b/>
          <w:noProof/>
        </w:rPr>
        <w:t>stanovena definice výrazu „mladý zemědělec“</w:t>
      </w:r>
      <w:r w:rsidRPr="00892DB5">
        <w:rPr>
          <w:noProof/>
        </w:rPr>
        <w:t xml:space="preserve"> se základními prvky.</w:t>
      </w:r>
    </w:p>
    <w:p w14:paraId="799D435C" w14:textId="77777777" w:rsidR="00B87E14" w:rsidRPr="00892DB5" w:rsidRDefault="00B87E14" w:rsidP="00B87E14">
      <w:pPr>
        <w:pStyle w:val="ManualConsidrant"/>
        <w:ind w:left="1560" w:hanging="852"/>
        <w:rPr>
          <w:noProof/>
        </w:rPr>
      </w:pPr>
      <w:r w:rsidRPr="00892DB5">
        <w:rPr>
          <w:noProof/>
        </w:rPr>
        <w:t>(16)</w:t>
      </w:r>
      <w:r w:rsidRPr="00892DB5">
        <w:rPr>
          <w:noProof/>
        </w:rPr>
        <w:tab/>
        <w:t xml:space="preserve">Jelikož mnohé venkovské oblasti v Unii trpí strukturálními problémy, např. nedostatkem atraktivních pracovních příležitostí, nedostatkem dovedností, nedostatkem investic v oblasti konektivity, infrastruktury a základních služeb, jakož i odlivem mladých lidí, je nezbytné posílit v souladu s prohlášením </w:t>
      </w:r>
      <w:r w:rsidRPr="00892DB5">
        <w:rPr>
          <w:b/>
          <w:noProof/>
        </w:rPr>
        <w:t>Cork 2.0 sociální a hospodářskou strukturu v těchto oblastech, zejména vytvářením pracovních míst a generační obměnou</w:t>
      </w:r>
      <w:r w:rsidRPr="00892DB5">
        <w:rPr>
          <w:noProof/>
        </w:rPr>
        <w:t>, vnášením pracovních míst a růstu podporovaných Komisí do venkovských oblastí, podporou sociálního začleňování, generační obnovy a rozvoje „inteligentních vesnic“ po celém evropském venkově.</w:t>
      </w:r>
    </w:p>
    <w:p w14:paraId="212E1324" w14:textId="77777777" w:rsidR="00B87E14" w:rsidRPr="00892DB5" w:rsidRDefault="00B87E14" w:rsidP="00B87E14">
      <w:pPr>
        <w:pStyle w:val="ManualConsidrant"/>
        <w:ind w:left="1560" w:hanging="852"/>
        <w:rPr>
          <w:noProof/>
        </w:rPr>
      </w:pPr>
      <w:r w:rsidRPr="00892DB5">
        <w:rPr>
          <w:noProof/>
        </w:rPr>
        <w:t>(27)</w:t>
      </w:r>
      <w:r w:rsidRPr="00892DB5">
        <w:rPr>
          <w:noProof/>
        </w:rPr>
        <w:tab/>
        <w:t xml:space="preserve">Při poskytování přímé podpory oddělené od produkce na základě systému platebních nároků by členské státy měly i nadále spravovat národní rezervu nebo rezervy na každou skupinu území. Takové </w:t>
      </w:r>
      <w:r w:rsidRPr="00892DB5">
        <w:rPr>
          <w:b/>
          <w:noProof/>
        </w:rPr>
        <w:t xml:space="preserve">rezervy </w:t>
      </w:r>
      <w:r w:rsidRPr="00892DB5">
        <w:rPr>
          <w:noProof/>
        </w:rPr>
        <w:t>by měly být</w:t>
      </w:r>
      <w:r w:rsidRPr="00892DB5">
        <w:rPr>
          <w:b/>
          <w:noProof/>
        </w:rPr>
        <w:t xml:space="preserve"> prioritně použity pro mladé zemědělce a zemědělce zahajující zemědělskou činnost</w:t>
      </w:r>
      <w:r w:rsidRPr="00892DB5">
        <w:rPr>
          <w:noProof/>
        </w:rPr>
        <w:t>. Za účelem zaručení hladkého fungování systému jsou také nezbytná pravidla používání a převodu platebních nároků.</w:t>
      </w:r>
    </w:p>
    <w:p w14:paraId="7FA10326" w14:textId="77777777" w:rsidR="00B87E14" w:rsidRPr="00892DB5" w:rsidRDefault="00B87E14" w:rsidP="00B87E14">
      <w:pPr>
        <w:pStyle w:val="ManualConsidrant"/>
        <w:ind w:left="1560" w:hanging="852"/>
        <w:rPr>
          <w:noProof/>
        </w:rPr>
      </w:pPr>
      <w:r w:rsidRPr="00892DB5">
        <w:rPr>
          <w:noProof/>
        </w:rPr>
        <w:t>(30)</w:t>
      </w:r>
      <w:r w:rsidRPr="00892DB5">
        <w:rPr>
          <w:noProof/>
        </w:rPr>
        <w:tab/>
        <w:t xml:space="preserve">Zavádění a rozvoj nových hospodářských činností v odvětví zemědělství jsou pro mladé zemědělce finančně náročné a představují prvek, který je třeba zohlednit při přidělování přímých plateb a jejich zacílení. Tento rozvoj je zásadní pro konkurenceschopnost zemědělského odvětví v Unii, a proto </w:t>
      </w:r>
      <w:r w:rsidRPr="00892DB5">
        <w:rPr>
          <w:noProof/>
        </w:rPr>
        <w:lastRenderedPageBreak/>
        <w:t xml:space="preserve">mohou členské státy zřídit doplňkovou podporu příjmu pro mladé zemědělce. Tento typ intervencí by měl být zaveden, aby mladým zemědělcům poskytoval </w:t>
      </w:r>
      <w:r w:rsidRPr="00892DB5">
        <w:rPr>
          <w:b/>
          <w:noProof/>
        </w:rPr>
        <w:t>doplňkový příjem po zahájení činnosti</w:t>
      </w:r>
      <w:r w:rsidRPr="00892DB5">
        <w:rPr>
          <w:noProof/>
        </w:rPr>
        <w:t>.</w:t>
      </w:r>
    </w:p>
    <w:p w14:paraId="5F02B60C" w14:textId="77777777" w:rsidR="00B87E14" w:rsidRPr="00892DB5" w:rsidRDefault="00B87E14" w:rsidP="00B87E14">
      <w:pPr>
        <w:pStyle w:val="ManualConsidrant"/>
        <w:ind w:left="1560" w:hanging="852"/>
        <w:rPr>
          <w:noProof/>
        </w:rPr>
      </w:pPr>
      <w:r w:rsidRPr="00892DB5">
        <w:rPr>
          <w:noProof/>
        </w:rPr>
        <w:t>(42)</w:t>
      </w:r>
      <w:r w:rsidRPr="00892DB5">
        <w:rPr>
          <w:noProof/>
        </w:rPr>
        <w:tab/>
        <w:t xml:space="preserve">S ohledem na potřebu zaplnění investiční mezery v unijním zemědělském odvětví a potřebu </w:t>
      </w:r>
      <w:r w:rsidRPr="00892DB5">
        <w:rPr>
          <w:b/>
          <w:noProof/>
        </w:rPr>
        <w:t>zlepšit</w:t>
      </w:r>
      <w:r w:rsidRPr="00892DB5">
        <w:rPr>
          <w:noProof/>
        </w:rPr>
        <w:t xml:space="preserve"> prioritním skupinám, obzvláště pak </w:t>
      </w:r>
      <w:r w:rsidRPr="00892DB5">
        <w:rPr>
          <w:b/>
          <w:noProof/>
        </w:rPr>
        <w:t>mladým zemědělcům a nováčkům s rizikovějším profilem, přístup k finančním nástrojům</w:t>
      </w:r>
      <w:r w:rsidRPr="00892DB5">
        <w:rPr>
          <w:noProof/>
        </w:rPr>
        <w:t xml:space="preserve"> by měly být podporovány </w:t>
      </w:r>
      <w:r w:rsidRPr="00892DB5">
        <w:rPr>
          <w:b/>
          <w:noProof/>
        </w:rPr>
        <w:t>využívání záruky InvestEU a kombinace grantů a finančních nástrojů</w:t>
      </w:r>
      <w:r w:rsidRPr="00892DB5">
        <w:rPr>
          <w:noProof/>
        </w:rPr>
        <w:t xml:space="preserve">. Protože se finanční nástroje v jednotlivých členských státech výrazně liší v důsledku odlišného přístupu k financím, rozvoji bankovního sektoru, přítomnosti rizikového kapitálu, obeznámenosti s veřejnou administrativou a potenciální škálou příjemců, měly by členské státy ve strategickém plánu SZP stanovit </w:t>
      </w:r>
      <w:r w:rsidRPr="00892DB5">
        <w:rPr>
          <w:b/>
          <w:noProof/>
        </w:rPr>
        <w:t>vhodné cíle, příjemce a preferenční podmínky a další možná pravidla způsobilosti</w:t>
      </w:r>
      <w:r w:rsidRPr="00892DB5">
        <w:rPr>
          <w:noProof/>
        </w:rPr>
        <w:t>.</w:t>
      </w:r>
    </w:p>
    <w:p w14:paraId="060EE446" w14:textId="77777777" w:rsidR="00B87E14" w:rsidRPr="00892DB5" w:rsidRDefault="00B87E14" w:rsidP="00B87E14">
      <w:pPr>
        <w:pStyle w:val="ManualConsidrant"/>
        <w:ind w:left="1560" w:hanging="852"/>
        <w:rPr>
          <w:noProof/>
        </w:rPr>
      </w:pPr>
      <w:r w:rsidRPr="00892DB5">
        <w:rPr>
          <w:noProof/>
        </w:rPr>
        <w:t>(43)</w:t>
      </w:r>
      <w:r w:rsidRPr="00892DB5">
        <w:rPr>
          <w:noProof/>
        </w:rPr>
        <w:tab/>
      </w:r>
      <w:r w:rsidRPr="00892DB5">
        <w:rPr>
          <w:b/>
          <w:noProof/>
        </w:rPr>
        <w:t>Mladí zemědělci a nováčci</w:t>
      </w:r>
      <w:r w:rsidRPr="00892DB5">
        <w:rPr>
          <w:noProof/>
        </w:rPr>
        <w:t xml:space="preserve"> stále čelí výrazným </w:t>
      </w:r>
      <w:r w:rsidRPr="00892DB5">
        <w:rPr>
          <w:b/>
          <w:noProof/>
        </w:rPr>
        <w:t>bariérám</w:t>
      </w:r>
      <w:r w:rsidRPr="00892DB5">
        <w:rPr>
          <w:noProof/>
        </w:rPr>
        <w:t xml:space="preserve">, co se týče </w:t>
      </w:r>
      <w:r w:rsidRPr="00892DB5">
        <w:rPr>
          <w:b/>
          <w:noProof/>
        </w:rPr>
        <w:t>přístupu k půdě, vysokým cenám a přístupu k úvěrům</w:t>
      </w:r>
      <w:r w:rsidRPr="00892DB5">
        <w:rPr>
          <w:noProof/>
        </w:rPr>
        <w:t xml:space="preserve">. Jejich podniky jsou více ohroženy </w:t>
      </w:r>
      <w:r w:rsidRPr="00892DB5">
        <w:rPr>
          <w:b/>
          <w:noProof/>
        </w:rPr>
        <w:t>nestálostí cen</w:t>
      </w:r>
      <w:r w:rsidRPr="00892DB5">
        <w:rPr>
          <w:noProof/>
        </w:rPr>
        <w:t xml:space="preserve"> (vstupních prostředků i produktů) a mají vysoké potřeby v oblasti </w:t>
      </w:r>
      <w:r w:rsidRPr="00892DB5">
        <w:rPr>
          <w:b/>
          <w:noProof/>
        </w:rPr>
        <w:t>získávání obchodních dovedností a dovedností pro řízení rizik</w:t>
      </w:r>
      <w:r w:rsidRPr="00892DB5">
        <w:rPr>
          <w:noProof/>
        </w:rPr>
        <w:t xml:space="preserve">. Je proto důležité pokračovat v podpoře zakládání nových podniků a nových hospodářství. Členské státy by měly zastávat strategický postoj a určit </w:t>
      </w:r>
      <w:r w:rsidRPr="00892DB5">
        <w:rPr>
          <w:b/>
          <w:noProof/>
        </w:rPr>
        <w:t>jasný a soudržný soubor intervencí pro obnovu populace</w:t>
      </w:r>
      <w:r w:rsidRPr="00892DB5">
        <w:rPr>
          <w:noProof/>
        </w:rPr>
        <w:t xml:space="preserve">, a to v rámci specifických cílů věnovaných této problematice. Z tohoto důvodu mohou členské státy stanovit ve svých strategických plánech SZP </w:t>
      </w:r>
      <w:r w:rsidRPr="00892DB5">
        <w:rPr>
          <w:b/>
          <w:noProof/>
        </w:rPr>
        <w:t>preferenční podmínky finančních nástrojů pro mladé zemědělce a nováčky</w:t>
      </w:r>
      <w:r w:rsidRPr="00892DB5">
        <w:rPr>
          <w:noProof/>
        </w:rPr>
        <w:t xml:space="preserve"> a měly by do svých strategických plánů SZP zahrnout </w:t>
      </w:r>
      <w:r w:rsidRPr="00892DB5">
        <w:rPr>
          <w:b/>
          <w:noProof/>
        </w:rPr>
        <w:t>vyčlenění částky odpovídající alespoň 2% krytí ročních přímých plateb</w:t>
      </w:r>
      <w:r w:rsidRPr="00892DB5">
        <w:rPr>
          <w:noProof/>
        </w:rPr>
        <w:t xml:space="preserve">. Ustanoveno by mělo být zvýšení </w:t>
      </w:r>
      <w:r w:rsidRPr="00892DB5">
        <w:rPr>
          <w:b/>
          <w:noProof/>
        </w:rPr>
        <w:t>maximální částky pomoci pro zahájení činnosti mladých zemědělců a venkovských podnikatelských startupů až na 100 000 eur</w:t>
      </w:r>
      <w:r w:rsidRPr="00892DB5">
        <w:rPr>
          <w:noProof/>
        </w:rPr>
        <w:t xml:space="preserve">, které lze dosáhnout také prostřednictvím nebo kombinací finančního nástroje podpory. </w:t>
      </w:r>
    </w:p>
    <w:p w14:paraId="0457F2DA" w14:textId="77777777" w:rsidR="00B87E14" w:rsidRPr="00C35E53" w:rsidRDefault="00B87E14" w:rsidP="00C35E53">
      <w:pPr>
        <w:pStyle w:val="Podnadpis"/>
        <w:rPr>
          <w:rStyle w:val="Nadpis7Char"/>
          <w:rFonts w:eastAsiaTheme="minorEastAsia" w:cstheme="minorBidi"/>
          <w:i/>
          <w:iCs w:val="0"/>
          <w:color w:val="000000" w:themeColor="text1"/>
          <w:szCs w:val="22"/>
          <w:lang w:val="en-GB"/>
        </w:rPr>
      </w:pPr>
      <w:r w:rsidRPr="00C35E53">
        <w:rPr>
          <w:rStyle w:val="Nadpis7Char"/>
          <w:rFonts w:eastAsiaTheme="minorEastAsia" w:cstheme="minorBidi"/>
          <w:i/>
          <w:iCs w:val="0"/>
          <w:color w:val="000000" w:themeColor="text1"/>
          <w:szCs w:val="22"/>
          <w:lang w:val="en-GB"/>
        </w:rPr>
        <w:t>Článek 4</w:t>
      </w:r>
    </w:p>
    <w:p w14:paraId="3D0C491F" w14:textId="77777777" w:rsidR="00B87E14" w:rsidRPr="00892DB5" w:rsidRDefault="00B87E14" w:rsidP="00B87E14">
      <w:pPr>
        <w:ind w:firstLine="708"/>
        <w:rPr>
          <w:noProof/>
          <w:lang w:val="cs-CZ"/>
        </w:rPr>
      </w:pPr>
      <w:r w:rsidRPr="00892DB5">
        <w:rPr>
          <w:lang w:val="cs-CZ"/>
        </w:rPr>
        <w:t xml:space="preserve">1. </w:t>
      </w:r>
      <w:r w:rsidRPr="00892DB5">
        <w:rPr>
          <w:noProof/>
          <w:lang w:val="cs-CZ"/>
        </w:rPr>
        <w:t xml:space="preserve">e) </w:t>
      </w:r>
      <w:r w:rsidRPr="00892DB5">
        <w:rPr>
          <w:noProof/>
          <w:lang w:val="cs-CZ"/>
        </w:rPr>
        <w:tab/>
        <w:t xml:space="preserve">definice „mladého zemědělce“ je podána tak, aby zahrnovala: </w:t>
      </w:r>
    </w:p>
    <w:p w14:paraId="1B5DFF62" w14:textId="77777777" w:rsidR="00B87E14" w:rsidRPr="00892DB5" w:rsidRDefault="00B87E14" w:rsidP="00B87E14">
      <w:pPr>
        <w:pStyle w:val="Point2"/>
        <w:rPr>
          <w:noProof/>
        </w:rPr>
      </w:pPr>
      <w:r w:rsidRPr="00892DB5">
        <w:rPr>
          <w:noProof/>
        </w:rPr>
        <w:t>i)</w:t>
      </w:r>
      <w:r w:rsidRPr="00892DB5">
        <w:rPr>
          <w:noProof/>
        </w:rPr>
        <w:tab/>
        <w:t xml:space="preserve">maximální věkovou hranici, která nesmí přesáhnout </w:t>
      </w:r>
      <w:r w:rsidRPr="00892DB5">
        <w:rPr>
          <w:b/>
          <w:noProof/>
        </w:rPr>
        <w:t>40 let</w:t>
      </w:r>
      <w:r w:rsidRPr="00892DB5">
        <w:rPr>
          <w:noProof/>
        </w:rPr>
        <w:t>;</w:t>
      </w:r>
    </w:p>
    <w:p w14:paraId="001B1345" w14:textId="77777777" w:rsidR="00B87E14" w:rsidRPr="00892DB5" w:rsidRDefault="00B87E14" w:rsidP="00B87E14">
      <w:pPr>
        <w:pStyle w:val="Point2"/>
        <w:rPr>
          <w:noProof/>
        </w:rPr>
      </w:pPr>
      <w:r w:rsidRPr="00892DB5">
        <w:rPr>
          <w:noProof/>
        </w:rPr>
        <w:t>ii)</w:t>
      </w:r>
      <w:r w:rsidRPr="00892DB5">
        <w:rPr>
          <w:noProof/>
        </w:rPr>
        <w:tab/>
        <w:t>podmínky, za nichž lze být „</w:t>
      </w:r>
      <w:r w:rsidRPr="00892DB5">
        <w:rPr>
          <w:b/>
          <w:noProof/>
        </w:rPr>
        <w:t>vedoucím</w:t>
      </w:r>
      <w:r w:rsidRPr="00892DB5">
        <w:rPr>
          <w:noProof/>
        </w:rPr>
        <w:t xml:space="preserve"> zemědělského podniku“;</w:t>
      </w:r>
    </w:p>
    <w:p w14:paraId="29BEE82E" w14:textId="77777777" w:rsidR="00B87E14" w:rsidRPr="00892DB5" w:rsidRDefault="00B87E14" w:rsidP="00B87E14">
      <w:pPr>
        <w:pStyle w:val="Point2"/>
        <w:rPr>
          <w:noProof/>
        </w:rPr>
      </w:pPr>
      <w:r w:rsidRPr="00892DB5">
        <w:rPr>
          <w:noProof/>
        </w:rPr>
        <w:t>iii)</w:t>
      </w:r>
      <w:r w:rsidRPr="00892DB5">
        <w:rPr>
          <w:noProof/>
        </w:rPr>
        <w:tab/>
        <w:t xml:space="preserve">vhodnou </w:t>
      </w:r>
      <w:r w:rsidRPr="00892DB5">
        <w:rPr>
          <w:b/>
          <w:noProof/>
        </w:rPr>
        <w:t>odbornou přípravu nebo dovednosti</w:t>
      </w:r>
      <w:r w:rsidRPr="00892DB5">
        <w:rPr>
          <w:noProof/>
        </w:rPr>
        <w:t xml:space="preserve">, které se požadují. </w:t>
      </w:r>
    </w:p>
    <w:p w14:paraId="1BDDE356" w14:textId="77777777" w:rsidR="00B87E14" w:rsidRPr="001314DB" w:rsidRDefault="00B87E14" w:rsidP="00B87E14">
      <w:pPr>
        <w:pStyle w:val="Titrearticle"/>
        <w:rPr>
          <w:rFonts w:eastAsiaTheme="majorEastAsia" w:cstheme="majorBidi"/>
          <w:iCs/>
          <w:noProof/>
          <w:color w:val="000000" w:themeColor="text1"/>
          <w:szCs w:val="24"/>
        </w:rPr>
      </w:pPr>
      <w:r w:rsidRPr="00C35E53">
        <w:rPr>
          <w:rStyle w:val="Nadpis7Char"/>
          <w:rFonts w:eastAsiaTheme="minorEastAsia" w:cstheme="minorBidi"/>
          <w:i/>
          <w:iCs w:val="0"/>
          <w:noProof/>
          <w:color w:val="000000" w:themeColor="text1"/>
          <w:spacing w:val="15"/>
          <w:szCs w:val="22"/>
          <w:lang w:val="en-GB"/>
        </w:rPr>
        <w:t>Článek 22</w:t>
      </w:r>
      <w:r w:rsidRPr="00C35E53">
        <w:rPr>
          <w:rStyle w:val="Nadpis7Char"/>
          <w:rFonts w:eastAsiaTheme="minorEastAsia" w:cstheme="minorBidi"/>
          <w:i/>
          <w:iCs w:val="0"/>
          <w:noProof/>
          <w:color w:val="000000" w:themeColor="text1"/>
          <w:spacing w:val="15"/>
          <w:szCs w:val="22"/>
          <w:lang w:val="en-GB"/>
        </w:rPr>
        <w:br/>
      </w:r>
      <w:r w:rsidRPr="001314DB">
        <w:rPr>
          <w:rFonts w:eastAsiaTheme="majorEastAsia" w:cstheme="majorBidi"/>
          <w:iCs/>
          <w:noProof/>
          <w:color w:val="000000" w:themeColor="text1"/>
          <w:szCs w:val="24"/>
        </w:rPr>
        <w:t>Rezervy na platební nároky</w:t>
      </w:r>
    </w:p>
    <w:p w14:paraId="2A672C11" w14:textId="77777777" w:rsidR="00B87E14" w:rsidRPr="00892DB5" w:rsidRDefault="00B87E14" w:rsidP="00B87E14">
      <w:pPr>
        <w:pStyle w:val="ManualNumPar1"/>
        <w:ind w:left="1400" w:hanging="714"/>
        <w:rPr>
          <w:rFonts w:eastAsia="Arial Unicode MS"/>
          <w:noProof/>
          <w:szCs w:val="24"/>
        </w:rPr>
      </w:pPr>
      <w:r w:rsidRPr="00892DB5">
        <w:t>1.</w:t>
      </w:r>
      <w:r w:rsidRPr="00892DB5">
        <w:tab/>
      </w:r>
      <w:r w:rsidRPr="00892DB5">
        <w:rPr>
          <w:noProof/>
        </w:rPr>
        <w:t xml:space="preserve">Každý členský stát, který se rozhodne poskytovat základní podporu příjmu na základě platebních nároků, spravuje vnitrostátní rezervu. </w:t>
      </w:r>
    </w:p>
    <w:p w14:paraId="53124923" w14:textId="77777777" w:rsidR="00B87E14" w:rsidRPr="00892DB5" w:rsidRDefault="00B87E14" w:rsidP="00B87E14">
      <w:pPr>
        <w:pStyle w:val="ManualNumPar1"/>
        <w:ind w:left="1400" w:hanging="714"/>
        <w:rPr>
          <w:rFonts w:eastAsia="Arial Unicode MS"/>
          <w:noProof/>
          <w:szCs w:val="24"/>
        </w:rPr>
      </w:pPr>
      <w:r w:rsidRPr="00892DB5">
        <w:t>4.</w:t>
      </w:r>
      <w:r w:rsidRPr="00892DB5">
        <w:tab/>
      </w:r>
      <w:r w:rsidRPr="00892DB5">
        <w:rPr>
          <w:noProof/>
        </w:rPr>
        <w:t>Členské státy svou rezervu přednostně využívají k přidělování platebních nároků těmto zemědělcům:</w:t>
      </w:r>
    </w:p>
    <w:p w14:paraId="7F8CB00F" w14:textId="77777777" w:rsidR="00B87E14" w:rsidRPr="00892DB5" w:rsidRDefault="00B87E14" w:rsidP="00B87E14">
      <w:pPr>
        <w:pStyle w:val="Point1"/>
        <w:ind w:left="1985"/>
        <w:rPr>
          <w:noProof/>
        </w:rPr>
      </w:pPr>
      <w:r w:rsidRPr="00892DB5">
        <w:rPr>
          <w:noProof/>
        </w:rPr>
        <w:t>a)</w:t>
      </w:r>
      <w:r w:rsidRPr="00892DB5">
        <w:rPr>
          <w:noProof/>
        </w:rPr>
        <w:tab/>
      </w:r>
      <w:r w:rsidRPr="00892DB5">
        <w:rPr>
          <w:b/>
          <w:noProof/>
        </w:rPr>
        <w:t>mladým zemědělcům</w:t>
      </w:r>
      <w:r w:rsidRPr="00892DB5">
        <w:rPr>
          <w:noProof/>
        </w:rPr>
        <w:t xml:space="preserve">, kteří poprvé </w:t>
      </w:r>
      <w:r w:rsidRPr="00892DB5">
        <w:rPr>
          <w:b/>
          <w:noProof/>
        </w:rPr>
        <w:t>založili nový</w:t>
      </w:r>
      <w:r w:rsidRPr="00892DB5">
        <w:rPr>
          <w:noProof/>
        </w:rPr>
        <w:t xml:space="preserve"> zemědělský podnik; </w:t>
      </w:r>
    </w:p>
    <w:p w14:paraId="534B2250" w14:textId="77777777" w:rsidR="00B87E14" w:rsidRPr="00892DB5" w:rsidRDefault="00B87E14" w:rsidP="00B87E14">
      <w:pPr>
        <w:pStyle w:val="Point1"/>
        <w:ind w:left="1985"/>
        <w:rPr>
          <w:noProof/>
        </w:rPr>
      </w:pPr>
      <w:r w:rsidRPr="00892DB5">
        <w:rPr>
          <w:noProof/>
        </w:rPr>
        <w:t>b)</w:t>
      </w:r>
      <w:r w:rsidRPr="00892DB5">
        <w:rPr>
          <w:noProof/>
        </w:rPr>
        <w:tab/>
      </w:r>
      <w:r w:rsidRPr="00892DB5">
        <w:rPr>
          <w:b/>
          <w:noProof/>
        </w:rPr>
        <w:t>zemědělcům</w:t>
      </w:r>
      <w:r w:rsidRPr="00892DB5">
        <w:rPr>
          <w:noProof/>
        </w:rPr>
        <w:t xml:space="preserve">, kteří </w:t>
      </w:r>
      <w:r w:rsidRPr="00892DB5">
        <w:rPr>
          <w:b/>
          <w:noProof/>
        </w:rPr>
        <w:t>poprvé založili nový zemědělský podnik</w:t>
      </w:r>
      <w:r w:rsidRPr="00892DB5">
        <w:rPr>
          <w:noProof/>
        </w:rPr>
        <w:t xml:space="preserve"> jako vedoucí tohoto podniku a mají vhodnou odbornou přípravu nebo získali nezbytné dovednosti, jež členské státy pro mladé zemědělce stanovily.</w:t>
      </w:r>
    </w:p>
    <w:p w14:paraId="04704270" w14:textId="77777777" w:rsidR="00B87E14" w:rsidRPr="00892DB5" w:rsidRDefault="00B87E14" w:rsidP="001314DB">
      <w:pPr>
        <w:pStyle w:val="Titrearticle"/>
        <w:rPr>
          <w:noProof/>
        </w:rPr>
      </w:pPr>
      <w:r w:rsidRPr="00C35E53">
        <w:rPr>
          <w:rStyle w:val="Nadpis7Char"/>
          <w:rFonts w:eastAsiaTheme="minorEastAsia" w:cstheme="minorBidi"/>
          <w:i/>
          <w:iCs w:val="0"/>
          <w:noProof/>
          <w:color w:val="000000" w:themeColor="text1"/>
          <w:spacing w:val="15"/>
          <w:szCs w:val="22"/>
          <w:lang w:val="en-GB"/>
        </w:rPr>
        <w:lastRenderedPageBreak/>
        <w:t>Článek 27</w:t>
      </w:r>
      <w:r w:rsidRPr="00C35E53">
        <w:rPr>
          <w:rStyle w:val="Nadpis7Char"/>
          <w:rFonts w:eastAsiaTheme="minorEastAsia" w:cstheme="minorBidi"/>
          <w:i/>
          <w:iCs w:val="0"/>
          <w:noProof/>
          <w:color w:val="000000" w:themeColor="text1"/>
          <w:spacing w:val="15"/>
          <w:szCs w:val="22"/>
          <w:lang w:val="en-GB"/>
        </w:rPr>
        <w:br/>
      </w:r>
      <w:r w:rsidRPr="00892DB5">
        <w:rPr>
          <w:noProof/>
        </w:rPr>
        <w:t xml:space="preserve"> Doplňková podpora příjmu pro mladé zemědělce</w:t>
      </w:r>
    </w:p>
    <w:p w14:paraId="61B18153" w14:textId="77777777" w:rsidR="00B87E14" w:rsidRPr="00892DB5" w:rsidRDefault="00B87E14" w:rsidP="00B87E14">
      <w:pPr>
        <w:pStyle w:val="ManualNumPar1"/>
        <w:ind w:left="1400" w:hanging="691"/>
        <w:rPr>
          <w:noProof/>
        </w:rPr>
      </w:pPr>
      <w:r w:rsidRPr="00892DB5">
        <w:t>1.</w:t>
      </w:r>
      <w:r w:rsidRPr="00892DB5">
        <w:tab/>
      </w:r>
      <w:r w:rsidRPr="00892DB5">
        <w:rPr>
          <w:noProof/>
        </w:rPr>
        <w:t>Členské státy mohou poskytovat doplňkovou podporu příjmu pro mladé zemědělce za podmínek stanovených v tomto článku a na základě dalších údajů uvedených v jejich strategickém plánu SZP.</w:t>
      </w:r>
    </w:p>
    <w:p w14:paraId="71BB47A8" w14:textId="77777777" w:rsidR="00B87E14" w:rsidRPr="00892DB5" w:rsidRDefault="00B87E14" w:rsidP="00B87E14">
      <w:pPr>
        <w:pStyle w:val="ManualNumPar1"/>
        <w:ind w:left="1400" w:hanging="691"/>
        <w:rPr>
          <w:noProof/>
        </w:rPr>
      </w:pPr>
      <w:r w:rsidRPr="00892DB5">
        <w:t>2.</w:t>
      </w:r>
      <w:r w:rsidRPr="00892DB5">
        <w:tab/>
      </w:r>
      <w:r w:rsidRPr="00892DB5">
        <w:rPr>
          <w:noProof/>
        </w:rPr>
        <w:t>V rámci své povinnosti přispívat k plnění cíle „</w:t>
      </w:r>
      <w:r w:rsidRPr="00892DB5">
        <w:rPr>
          <w:b/>
          <w:noProof/>
        </w:rPr>
        <w:t>získávat mladé zemědělce</w:t>
      </w:r>
      <w:r w:rsidRPr="00892DB5">
        <w:rPr>
          <w:noProof/>
        </w:rPr>
        <w:t xml:space="preserve"> a usnadňovat rozvoj podnikání ve venkovských oblastech“, stanoveného v čl. 6 odst. 1 písm. g), a </w:t>
      </w:r>
      <w:r w:rsidRPr="00892DB5">
        <w:rPr>
          <w:b/>
          <w:noProof/>
        </w:rPr>
        <w:t xml:space="preserve">vyčlenit alespoň 2 % svých přídělů určených pro přímé platby </w:t>
      </w:r>
      <w:r w:rsidRPr="00892DB5">
        <w:rPr>
          <w:noProof/>
        </w:rPr>
        <w:t>na tento cíl v souladu s čl. 86 odst. 4 mohou členské státy poskytovat doplňkovou podporu příjmu mladým zemědělcům, kteří poprvé založili nový zemědělský podnik a kteří mají nárok na platbu v rámci základní podpory příjmu podle článku 17.</w:t>
      </w:r>
    </w:p>
    <w:p w14:paraId="38B8F78F" w14:textId="77777777" w:rsidR="00B87E14" w:rsidRPr="00892DB5" w:rsidRDefault="00B87E14" w:rsidP="00B87E14">
      <w:pPr>
        <w:pStyle w:val="ManualNumPar1"/>
        <w:ind w:left="1400" w:hanging="691"/>
        <w:rPr>
          <w:noProof/>
        </w:rPr>
      </w:pPr>
      <w:r w:rsidRPr="00892DB5">
        <w:t>3.</w:t>
      </w:r>
      <w:r w:rsidRPr="00892DB5">
        <w:tab/>
      </w:r>
      <w:r w:rsidRPr="00892DB5">
        <w:rPr>
          <w:noProof/>
        </w:rPr>
        <w:t xml:space="preserve">Doplňková podpora příjmu pro mladé zemědělce má podobu </w:t>
      </w:r>
      <w:r w:rsidRPr="00892DB5">
        <w:rPr>
          <w:b/>
          <w:noProof/>
        </w:rPr>
        <w:t>roční platby oddělené od produkce na způsobilý hektar</w:t>
      </w:r>
      <w:r w:rsidRPr="00892DB5">
        <w:rPr>
          <w:noProof/>
        </w:rPr>
        <w:t xml:space="preserve">. </w:t>
      </w:r>
    </w:p>
    <w:p w14:paraId="2AFE08C9" w14:textId="7ECABEF6" w:rsidR="00B87E14" w:rsidRPr="00892DB5" w:rsidRDefault="00B87E14" w:rsidP="001314DB">
      <w:pPr>
        <w:pStyle w:val="Titrearticle"/>
        <w:ind w:left="1134"/>
        <w:rPr>
          <w:noProof/>
        </w:rPr>
      </w:pPr>
      <w:r w:rsidRPr="00C35E53">
        <w:rPr>
          <w:rStyle w:val="Nadpis7Char"/>
          <w:rFonts w:eastAsiaTheme="minorEastAsia" w:cstheme="minorBidi"/>
          <w:i/>
          <w:iCs w:val="0"/>
          <w:noProof/>
          <w:color w:val="000000" w:themeColor="text1"/>
          <w:spacing w:val="15"/>
          <w:szCs w:val="22"/>
          <w:lang w:val="en-GB"/>
        </w:rPr>
        <w:t>Článek 68</w:t>
      </w:r>
      <w:r w:rsidRPr="00C35E53">
        <w:rPr>
          <w:rStyle w:val="Nadpis7Char"/>
          <w:rFonts w:eastAsiaTheme="minorEastAsia" w:cstheme="minorBidi"/>
          <w:i/>
          <w:iCs w:val="0"/>
          <w:noProof/>
          <w:color w:val="000000" w:themeColor="text1"/>
          <w:spacing w:val="15"/>
          <w:szCs w:val="22"/>
          <w:lang w:val="en-GB"/>
        </w:rPr>
        <w:br/>
      </w:r>
      <w:r w:rsidRPr="00892DB5">
        <w:rPr>
          <w:noProof/>
        </w:rPr>
        <w:t>Investice</w:t>
      </w:r>
    </w:p>
    <w:p w14:paraId="6EA3C6B5" w14:textId="77777777" w:rsidR="00B87E14" w:rsidRPr="00892DB5" w:rsidRDefault="00B87E14" w:rsidP="00B87E14">
      <w:pPr>
        <w:pStyle w:val="ManualNumPar1"/>
        <w:ind w:left="1276" w:hanging="709"/>
        <w:rPr>
          <w:noProof/>
        </w:rPr>
      </w:pPr>
      <w:r w:rsidRPr="00892DB5">
        <w:t>3.</w:t>
      </w:r>
      <w:r w:rsidRPr="00892DB5">
        <w:tab/>
      </w:r>
      <w:r w:rsidRPr="00892DB5">
        <w:rPr>
          <w:noProof/>
        </w:rPr>
        <w:t xml:space="preserve">Členské státy stanoví seznam </w:t>
      </w:r>
      <w:r w:rsidRPr="00892DB5">
        <w:rPr>
          <w:b/>
          <w:noProof/>
        </w:rPr>
        <w:t>nezpůsobilých investic</w:t>
      </w:r>
      <w:r w:rsidRPr="00892DB5">
        <w:rPr>
          <w:noProof/>
        </w:rPr>
        <w:t xml:space="preserve"> a kategorií nákladů zahrnující přinejmenším:</w:t>
      </w:r>
    </w:p>
    <w:p w14:paraId="1C0AF6BB" w14:textId="77777777" w:rsidR="00B87E14" w:rsidRPr="00892DB5" w:rsidRDefault="00B87E14" w:rsidP="00AA124D">
      <w:pPr>
        <w:pStyle w:val="Point1"/>
        <w:spacing w:after="0"/>
        <w:ind w:left="1695" w:hanging="408"/>
        <w:rPr>
          <w:noProof/>
        </w:rPr>
      </w:pPr>
      <w:r w:rsidRPr="00892DB5">
        <w:rPr>
          <w:noProof/>
        </w:rPr>
        <w:t>c)</w:t>
      </w:r>
      <w:r w:rsidRPr="00892DB5">
        <w:rPr>
          <w:noProof/>
        </w:rPr>
        <w:tab/>
        <w:t xml:space="preserve">nákup pozemků </w:t>
      </w:r>
      <w:r w:rsidRPr="00892DB5">
        <w:rPr>
          <w:b/>
          <w:noProof/>
        </w:rPr>
        <w:t>s výjimkou</w:t>
      </w:r>
      <w:r w:rsidRPr="00892DB5">
        <w:rPr>
          <w:noProof/>
        </w:rPr>
        <w:t xml:space="preserve"> nákupu pozemků za účelem zachování životního prostředí nebo </w:t>
      </w:r>
      <w:r w:rsidRPr="00892DB5">
        <w:rPr>
          <w:b/>
          <w:noProof/>
        </w:rPr>
        <w:t>nákupu pozemků mladými zemědělci za využití finančních nástrojů</w:t>
      </w:r>
      <w:r w:rsidRPr="00892DB5">
        <w:rPr>
          <w:noProof/>
        </w:rPr>
        <w:t>;</w:t>
      </w:r>
    </w:p>
    <w:p w14:paraId="6BA829D7" w14:textId="77777777" w:rsidR="00B87E14" w:rsidRPr="00892DB5" w:rsidRDefault="00B87E14" w:rsidP="00AA124D">
      <w:pPr>
        <w:pStyle w:val="Titrearticle"/>
        <w:spacing w:before="120"/>
        <w:ind w:left="1134"/>
        <w:rPr>
          <w:noProof/>
        </w:rPr>
      </w:pPr>
      <w:r w:rsidRPr="00C35E53">
        <w:rPr>
          <w:rStyle w:val="Nadpis7Char"/>
          <w:rFonts w:eastAsiaTheme="minorEastAsia" w:cstheme="minorBidi"/>
          <w:i/>
          <w:iCs w:val="0"/>
          <w:noProof/>
          <w:color w:val="000000" w:themeColor="text1"/>
          <w:spacing w:val="15"/>
          <w:szCs w:val="22"/>
          <w:lang w:val="en-GB"/>
        </w:rPr>
        <w:t>Článek 69</w:t>
      </w:r>
      <w:r w:rsidRPr="00C35E53">
        <w:rPr>
          <w:rStyle w:val="Nadpis7Char"/>
          <w:rFonts w:eastAsiaTheme="minorEastAsia" w:cstheme="minorBidi"/>
          <w:i/>
          <w:iCs w:val="0"/>
          <w:noProof/>
          <w:color w:val="000000" w:themeColor="text1"/>
          <w:spacing w:val="15"/>
          <w:szCs w:val="22"/>
          <w:lang w:val="en-GB"/>
        </w:rPr>
        <w:br/>
      </w:r>
      <w:r w:rsidRPr="00892DB5">
        <w:rPr>
          <w:noProof/>
        </w:rPr>
        <w:t>Založení činnosti mladého zemědělce a venkovského podnikatelského startupu</w:t>
      </w:r>
    </w:p>
    <w:p w14:paraId="2D5A0901" w14:textId="77777777" w:rsidR="00B87E14" w:rsidRPr="00892DB5" w:rsidRDefault="00B87E14" w:rsidP="00B87E14">
      <w:pPr>
        <w:pStyle w:val="ManualNumPar1"/>
        <w:ind w:left="1276" w:hanging="567"/>
        <w:rPr>
          <w:noProof/>
        </w:rPr>
      </w:pPr>
      <w:r w:rsidRPr="00892DB5">
        <w:t>1.</w:t>
      </w:r>
      <w:r w:rsidRPr="00892DB5">
        <w:tab/>
      </w:r>
      <w:r w:rsidRPr="00892DB5">
        <w:rPr>
          <w:noProof/>
        </w:rPr>
        <w:t xml:space="preserve">Členské státy mohou přidělit podporu na založení činnosti mladého zemědělce a venkovského podnikatelského startupu za podmínek stanovených v tomto článku a na základě dalších údajů uvedených v jejich strategickém plánu SZP, aby přispěly k dosažení specifických cílů stanovených v článku 6. </w:t>
      </w:r>
    </w:p>
    <w:p w14:paraId="7218346A" w14:textId="77777777" w:rsidR="00B87E14" w:rsidRPr="00892DB5" w:rsidRDefault="00B87E14" w:rsidP="00B87E14">
      <w:pPr>
        <w:pStyle w:val="ManualNumPar1"/>
        <w:ind w:left="1276" w:hanging="567"/>
        <w:rPr>
          <w:noProof/>
        </w:rPr>
      </w:pPr>
      <w:r w:rsidRPr="00892DB5">
        <w:t>2.</w:t>
      </w:r>
      <w:r w:rsidRPr="00892DB5">
        <w:tab/>
      </w:r>
      <w:r w:rsidRPr="00892DB5">
        <w:rPr>
          <w:noProof/>
        </w:rPr>
        <w:t>Členské státy mohou poskytnout podporu v rámci tohoto typu intervence pouze na to, aby pomohly:</w:t>
      </w:r>
    </w:p>
    <w:p w14:paraId="259FCA89" w14:textId="77777777" w:rsidR="00B87E14" w:rsidRPr="00892DB5" w:rsidRDefault="00B87E14" w:rsidP="00B87E14">
      <w:pPr>
        <w:pStyle w:val="Point1"/>
        <w:ind w:left="1701" w:hanging="425"/>
        <w:rPr>
          <w:noProof/>
        </w:rPr>
      </w:pPr>
      <w:r w:rsidRPr="00892DB5">
        <w:rPr>
          <w:noProof/>
        </w:rPr>
        <w:t>a)</w:t>
      </w:r>
      <w:r w:rsidRPr="00892DB5">
        <w:rPr>
          <w:noProof/>
        </w:rPr>
        <w:tab/>
        <w:t xml:space="preserve">založení činnosti mladých zemědělců, kteří splňují podmínky uvedené v definici v čl. 4 odst. 1 písm. e); </w:t>
      </w:r>
    </w:p>
    <w:p w14:paraId="7E299F57" w14:textId="77777777" w:rsidR="00B87E14" w:rsidRPr="00892DB5" w:rsidRDefault="00B87E14" w:rsidP="00AA124D">
      <w:pPr>
        <w:pStyle w:val="Point1"/>
        <w:spacing w:before="0" w:after="0"/>
        <w:ind w:left="2268"/>
        <w:rPr>
          <w:b/>
          <w:noProof/>
        </w:rPr>
      </w:pPr>
      <w:r w:rsidRPr="00892DB5">
        <w:rPr>
          <w:b/>
          <w:noProof/>
        </w:rPr>
        <w:t xml:space="preserve">definice „mladého zemědělce“ je podána tak, aby zahrnovala: </w:t>
      </w:r>
    </w:p>
    <w:p w14:paraId="1DD2C7F1" w14:textId="77777777" w:rsidR="00B87E14" w:rsidRPr="00892DB5" w:rsidRDefault="00B87E14" w:rsidP="00AA124D">
      <w:pPr>
        <w:pStyle w:val="Point2"/>
        <w:spacing w:before="0" w:after="0"/>
        <w:ind w:left="2268"/>
        <w:rPr>
          <w:b/>
          <w:noProof/>
        </w:rPr>
      </w:pPr>
      <w:r w:rsidRPr="00892DB5">
        <w:rPr>
          <w:b/>
          <w:noProof/>
        </w:rPr>
        <w:t>i)</w:t>
      </w:r>
      <w:r w:rsidRPr="00892DB5">
        <w:rPr>
          <w:b/>
          <w:noProof/>
        </w:rPr>
        <w:tab/>
        <w:t>maximální věkovou hranici, která nesmí přesáhnout 40 let;</w:t>
      </w:r>
    </w:p>
    <w:p w14:paraId="3A4D1B6E" w14:textId="77777777" w:rsidR="00B87E14" w:rsidRPr="00892DB5" w:rsidRDefault="00B87E14" w:rsidP="00AA124D">
      <w:pPr>
        <w:pStyle w:val="Point2"/>
        <w:spacing w:before="0" w:after="0"/>
        <w:ind w:left="2268"/>
        <w:rPr>
          <w:b/>
          <w:noProof/>
        </w:rPr>
      </w:pPr>
      <w:r w:rsidRPr="00892DB5">
        <w:rPr>
          <w:b/>
          <w:noProof/>
        </w:rPr>
        <w:t>ii)</w:t>
      </w:r>
      <w:r w:rsidRPr="00892DB5">
        <w:rPr>
          <w:b/>
          <w:noProof/>
        </w:rPr>
        <w:tab/>
        <w:t>podmínky, za nichž lze být „vedoucím zemědělského podniku“;</w:t>
      </w:r>
    </w:p>
    <w:p w14:paraId="3B220B40" w14:textId="77777777" w:rsidR="00B87E14" w:rsidRPr="00892DB5" w:rsidRDefault="00B87E14" w:rsidP="00AA124D">
      <w:pPr>
        <w:pStyle w:val="Point2"/>
        <w:spacing w:before="0" w:after="0"/>
        <w:ind w:left="2268"/>
        <w:rPr>
          <w:noProof/>
        </w:rPr>
      </w:pPr>
      <w:r w:rsidRPr="00892DB5">
        <w:rPr>
          <w:b/>
          <w:noProof/>
        </w:rPr>
        <w:t>iii)</w:t>
      </w:r>
      <w:r w:rsidRPr="00892DB5">
        <w:rPr>
          <w:b/>
          <w:noProof/>
        </w:rPr>
        <w:tab/>
        <w:t>vhodnou odbornou přípravu nebo dovednosti, které se požadují.</w:t>
      </w:r>
      <w:r w:rsidRPr="00892DB5">
        <w:rPr>
          <w:noProof/>
        </w:rPr>
        <w:t xml:space="preserve"> </w:t>
      </w:r>
    </w:p>
    <w:p w14:paraId="24166A3F" w14:textId="77777777" w:rsidR="00B87E14" w:rsidRPr="00892DB5" w:rsidRDefault="00B87E14" w:rsidP="00B87E14">
      <w:pPr>
        <w:pStyle w:val="Point1"/>
        <w:ind w:left="1701" w:hanging="425"/>
        <w:rPr>
          <w:noProof/>
        </w:rPr>
      </w:pPr>
      <w:r w:rsidRPr="00892DB5">
        <w:rPr>
          <w:noProof/>
        </w:rPr>
        <w:t>b)</w:t>
      </w:r>
      <w:r w:rsidRPr="00892DB5">
        <w:rPr>
          <w:noProof/>
        </w:rPr>
        <w:tab/>
        <w:t>založení venkovské podnikatelské činnosti spojené se zemědělstvím a lesnictvím nebo diverzifikací příjmů domácností zemědělců;</w:t>
      </w:r>
    </w:p>
    <w:p w14:paraId="0AF6BE1E" w14:textId="77777777" w:rsidR="00B87E14" w:rsidRPr="00892DB5" w:rsidRDefault="00B87E14" w:rsidP="00B87E14">
      <w:pPr>
        <w:pStyle w:val="Point1"/>
        <w:ind w:left="1701" w:hanging="425"/>
        <w:rPr>
          <w:noProof/>
        </w:rPr>
      </w:pPr>
      <w:r w:rsidRPr="00892DB5">
        <w:rPr>
          <w:noProof/>
        </w:rPr>
        <w:t>c)</w:t>
      </w:r>
      <w:r w:rsidRPr="00892DB5">
        <w:rPr>
          <w:noProof/>
        </w:rPr>
        <w:tab/>
        <w:t>založení podnikatelské činnosti s nezemědělskou aktivitou ve venkovských oblastech jako součást strategie místního rozvoje.</w:t>
      </w:r>
    </w:p>
    <w:p w14:paraId="36E84676" w14:textId="77777777" w:rsidR="00B87E14" w:rsidRPr="00892DB5" w:rsidRDefault="00B87E14" w:rsidP="00B87E14">
      <w:pPr>
        <w:pStyle w:val="ManualNumPar1"/>
        <w:ind w:left="1276" w:hanging="567"/>
        <w:rPr>
          <w:noProof/>
        </w:rPr>
      </w:pPr>
      <w:r w:rsidRPr="00892DB5">
        <w:t>3.</w:t>
      </w:r>
      <w:r w:rsidRPr="00892DB5">
        <w:tab/>
      </w:r>
      <w:r w:rsidRPr="00892DB5">
        <w:rPr>
          <w:noProof/>
        </w:rPr>
        <w:t>Členské státy stanoví podmínky předložení a obsah podnikatelského plánu.</w:t>
      </w:r>
    </w:p>
    <w:p w14:paraId="07E3F43D" w14:textId="77777777" w:rsidR="00B87E14" w:rsidRPr="00892DB5" w:rsidRDefault="00B87E14" w:rsidP="00B87E14">
      <w:pPr>
        <w:pStyle w:val="ManualNumPar1"/>
        <w:ind w:left="1276" w:hanging="567"/>
        <w:rPr>
          <w:noProof/>
        </w:rPr>
      </w:pPr>
      <w:r w:rsidRPr="00892DB5">
        <w:t>4.</w:t>
      </w:r>
      <w:r w:rsidRPr="00892DB5">
        <w:tab/>
      </w:r>
      <w:r w:rsidRPr="00892DB5">
        <w:rPr>
          <w:b/>
          <w:noProof/>
        </w:rPr>
        <w:t>Členské státy udělí podporu formou jednorázové částky.</w:t>
      </w:r>
      <w:r w:rsidRPr="00892DB5">
        <w:rPr>
          <w:noProof/>
        </w:rPr>
        <w:t xml:space="preserve"> </w:t>
      </w:r>
      <w:r w:rsidRPr="00892DB5">
        <w:rPr>
          <w:b/>
          <w:noProof/>
        </w:rPr>
        <w:t>Podpora je omezena maximální částkou 100 000 EUR a lze ji kombinovat s finančními nástroji</w:t>
      </w:r>
      <w:r w:rsidRPr="00892DB5">
        <w:rPr>
          <w:noProof/>
        </w:rPr>
        <w:t>.</w:t>
      </w:r>
    </w:p>
    <w:p w14:paraId="4F1D73B1" w14:textId="77777777" w:rsidR="00B87E14" w:rsidRPr="00892DB5" w:rsidRDefault="00B87E14" w:rsidP="00B87E14">
      <w:pPr>
        <w:ind w:left="709"/>
        <w:rPr>
          <w:lang w:val="cs-CZ"/>
        </w:rPr>
      </w:pPr>
      <w:r w:rsidRPr="00892DB5">
        <w:rPr>
          <w:lang w:val="cs-CZ"/>
        </w:rPr>
        <w:lastRenderedPageBreak/>
        <w:t>Jestliže by se využila i možnost spolupráce zemědělců se školami, řídilo by se poskytování dotací článkem 71.</w:t>
      </w:r>
    </w:p>
    <w:p w14:paraId="37EC3B99" w14:textId="77777777" w:rsidR="00B87E14" w:rsidRPr="00892DB5" w:rsidRDefault="00B87E14" w:rsidP="00B87E14">
      <w:pPr>
        <w:ind w:left="567"/>
        <w:jc w:val="center"/>
        <w:rPr>
          <w:i/>
          <w:lang w:val="cs-CZ"/>
        </w:rPr>
      </w:pPr>
      <w:r w:rsidRPr="00C35E53">
        <w:rPr>
          <w:rStyle w:val="PodnadpisChar"/>
        </w:rPr>
        <w:t>Článek 71</w:t>
      </w:r>
      <w:r w:rsidRPr="00C35E53">
        <w:rPr>
          <w:rStyle w:val="PodnadpisChar"/>
        </w:rPr>
        <w:br/>
      </w:r>
      <w:r w:rsidRPr="00892DB5">
        <w:rPr>
          <w:i/>
          <w:noProof/>
          <w:lang w:val="cs-CZ"/>
        </w:rPr>
        <w:t>Spolupráce</w:t>
      </w:r>
    </w:p>
    <w:p w14:paraId="7CB71E71" w14:textId="77777777" w:rsidR="00B87E14" w:rsidRPr="00892DB5" w:rsidRDefault="00B87E14" w:rsidP="00B87E14">
      <w:pPr>
        <w:pStyle w:val="ManualNumPar1"/>
        <w:ind w:left="1276" w:hanging="567"/>
        <w:rPr>
          <w:noProof/>
        </w:rPr>
      </w:pPr>
      <w:r w:rsidRPr="00892DB5">
        <w:t>1.</w:t>
      </w:r>
      <w:r w:rsidRPr="00892DB5">
        <w:tab/>
      </w:r>
      <w:r w:rsidRPr="00892DB5">
        <w:rPr>
          <w:noProof/>
        </w:rPr>
        <w:t>Členské státy mohou udělit podporu na spolupráci za podmínek stanovených v tomto článku a na základě dalších údajů uvedených v jejich strategickém plánu SZP, a to za účelem přípravy a realizace projektů operační skupiny evropského inovačního partnerství v oblasti zemědělské produktivity a udržitelnosti podle článku 114 a v rámci iniciativy LEADER, označované jako komunitně vedený místní rozvoj v článku 25 nařízení (EU) [nařízení o společných ustanoveních], a za účelem propagace systémů jakosti, organizací producentů nebo seskupení producentů či jiných forem spolupráce.</w:t>
      </w:r>
    </w:p>
    <w:p w14:paraId="1817C84B" w14:textId="77777777" w:rsidR="00B87E14" w:rsidRPr="00892DB5" w:rsidRDefault="00B87E14" w:rsidP="00B87E14">
      <w:pPr>
        <w:pStyle w:val="ManualNumPar1"/>
        <w:ind w:left="1276" w:hanging="567"/>
        <w:rPr>
          <w:noProof/>
        </w:rPr>
      </w:pPr>
      <w:r w:rsidRPr="00892DB5">
        <w:t>2.</w:t>
      </w:r>
      <w:r w:rsidRPr="00892DB5">
        <w:tab/>
      </w:r>
      <w:r w:rsidRPr="00892DB5">
        <w:rPr>
          <w:noProof/>
        </w:rPr>
        <w:t xml:space="preserve">Členské státy mohou udělit podporu v rámci tohoto typu intervence pouze na takové formy spolupráce, které </w:t>
      </w:r>
      <w:r w:rsidRPr="00892DB5">
        <w:rPr>
          <w:b/>
          <w:noProof/>
        </w:rPr>
        <w:t>zahrnují alespoň dva subjekty</w:t>
      </w:r>
      <w:r w:rsidRPr="00892DB5">
        <w:rPr>
          <w:noProof/>
        </w:rPr>
        <w:t xml:space="preserve"> a přispívají k plnění specifických cílů uvedených v článku 6.</w:t>
      </w:r>
    </w:p>
    <w:p w14:paraId="636BA6CE" w14:textId="77777777" w:rsidR="00B87E14" w:rsidRPr="00892DB5" w:rsidRDefault="00B87E14" w:rsidP="00B87E14">
      <w:pPr>
        <w:pStyle w:val="ManualNumPar1"/>
        <w:ind w:left="1276" w:hanging="567"/>
        <w:rPr>
          <w:noProof/>
        </w:rPr>
      </w:pPr>
      <w:r w:rsidRPr="00892DB5">
        <w:t>3.</w:t>
      </w:r>
      <w:r w:rsidRPr="00892DB5">
        <w:tab/>
      </w:r>
      <w:r w:rsidRPr="00892DB5">
        <w:rPr>
          <w:noProof/>
        </w:rPr>
        <w:t xml:space="preserve">Členské státy mohou v rámci tohoto typu intervence pokrýt náklady související se všemi aspekty spolupráce. </w:t>
      </w:r>
    </w:p>
    <w:p w14:paraId="33EB2A91" w14:textId="77777777" w:rsidR="00B87E14" w:rsidRPr="00892DB5" w:rsidRDefault="00B87E14" w:rsidP="00B87E14">
      <w:pPr>
        <w:pStyle w:val="ManualNumPar1"/>
        <w:ind w:left="1276" w:hanging="567"/>
        <w:rPr>
          <w:noProof/>
        </w:rPr>
      </w:pPr>
      <w:r w:rsidRPr="00892DB5">
        <w:t>4.</w:t>
      </w:r>
      <w:r w:rsidRPr="00892DB5">
        <w:tab/>
      </w:r>
      <w:r w:rsidRPr="00892DB5">
        <w:rPr>
          <w:noProof/>
        </w:rPr>
        <w:t xml:space="preserve">Členské státy mohou udělit podporu jako úhrnnou </w:t>
      </w:r>
      <w:r w:rsidRPr="00892DB5">
        <w:rPr>
          <w:b/>
          <w:noProof/>
        </w:rPr>
        <w:t>částku pokrývající náklady na spolupráci a náklady na realizované projekty</w:t>
      </w:r>
      <w:r w:rsidRPr="00892DB5">
        <w:rPr>
          <w:noProof/>
        </w:rPr>
        <w:t xml:space="preserve"> </w:t>
      </w:r>
      <w:r w:rsidRPr="00892DB5">
        <w:rPr>
          <w:b/>
          <w:noProof/>
        </w:rPr>
        <w:t>a operace</w:t>
      </w:r>
      <w:r w:rsidRPr="00892DB5">
        <w:rPr>
          <w:noProof/>
        </w:rPr>
        <w:t xml:space="preserve"> nebo mohou pokrýt pouze náklady na spolupráci a použít fondy z ostatních typů intervencí nebo vnitrostátních či unijních nástrojů podpory na realizaci projektů. </w:t>
      </w:r>
    </w:p>
    <w:p w14:paraId="5FCCCE92" w14:textId="77777777" w:rsidR="00B87E14" w:rsidRPr="00892DB5" w:rsidRDefault="00B87E14" w:rsidP="00B87E14">
      <w:pPr>
        <w:pStyle w:val="ManualNumPar1"/>
        <w:ind w:left="1276" w:hanging="567"/>
        <w:rPr>
          <w:noProof/>
        </w:rPr>
      </w:pPr>
      <w:r w:rsidRPr="00892DB5">
        <w:t>5.</w:t>
      </w:r>
      <w:r w:rsidRPr="00892DB5">
        <w:tab/>
      </w:r>
      <w:r w:rsidRPr="00892DB5">
        <w:rPr>
          <w:noProof/>
        </w:rPr>
        <w:t>V případech, kdy je podpora vyplacena jako úhrnná částka, členské státy zajistí, aby byla dodržována unijní pravidla a požadavky vztahující se na podobné akce v rámci jiných typů intervencí. Tento odstavec se netýká iniciativy LEADER označované jako komunitně vedený místní rozvoj v článku 25 nařízení (EU) [nařízení o společných ustanoveních].</w:t>
      </w:r>
    </w:p>
    <w:p w14:paraId="4F1DA555" w14:textId="77777777" w:rsidR="00B87E14" w:rsidRPr="00892DB5" w:rsidRDefault="00B87E14" w:rsidP="00B87E14">
      <w:pPr>
        <w:pStyle w:val="ManualNumPar1"/>
        <w:ind w:left="1276" w:hanging="567"/>
        <w:rPr>
          <w:noProof/>
        </w:rPr>
      </w:pPr>
      <w:r w:rsidRPr="00892DB5">
        <w:t>6.</w:t>
      </w:r>
      <w:r w:rsidRPr="00892DB5">
        <w:tab/>
      </w:r>
      <w:r w:rsidRPr="00892DB5">
        <w:rPr>
          <w:noProof/>
        </w:rPr>
        <w:t>Členské státy prostřednictvím tohoto typu intervencí nepodporují spolupráci výhradně výzkumných orgánů.</w:t>
      </w:r>
    </w:p>
    <w:p w14:paraId="3F5C961B" w14:textId="77777777" w:rsidR="00B87E14" w:rsidRPr="00892DB5" w:rsidRDefault="00B87E14" w:rsidP="00B87E14">
      <w:pPr>
        <w:pStyle w:val="ManualNumPar1"/>
        <w:ind w:left="1276" w:hanging="567"/>
        <w:rPr>
          <w:noProof/>
        </w:rPr>
      </w:pPr>
      <w:r w:rsidRPr="00892DB5">
        <w:t>7.</w:t>
      </w:r>
      <w:r w:rsidRPr="00892DB5">
        <w:tab/>
      </w:r>
      <w:r w:rsidRPr="00892DB5">
        <w:rPr>
          <w:b/>
          <w:noProof/>
        </w:rPr>
        <w:t>V případě spolupráce v kontextu předávání zemědělských podniků z generace na generaci mohou členské státy udělit podporu pouze zemědělcům, kteří dle vnitrostátní legislativy dosáhli důchodového věku</w:t>
      </w:r>
      <w:r w:rsidRPr="00892DB5">
        <w:rPr>
          <w:noProof/>
        </w:rPr>
        <w:t xml:space="preserve">. </w:t>
      </w:r>
    </w:p>
    <w:p w14:paraId="5DF756AF" w14:textId="77777777" w:rsidR="00B87E14" w:rsidRPr="00892DB5" w:rsidRDefault="00B87E14" w:rsidP="00B87E14">
      <w:pPr>
        <w:pStyle w:val="ManualNumPar1"/>
        <w:ind w:left="1276" w:hanging="567"/>
        <w:rPr>
          <w:noProof/>
        </w:rPr>
      </w:pPr>
      <w:r w:rsidRPr="00892DB5">
        <w:t>8.</w:t>
      </w:r>
      <w:r w:rsidRPr="00892DB5">
        <w:tab/>
      </w:r>
      <w:r w:rsidRPr="00892DB5">
        <w:rPr>
          <w:noProof/>
        </w:rPr>
        <w:t>Členské státy omezí podporu na maximální délku sedmi let, s výjimkou společných akcí v oblasti ochrany životního prostředí a klimatu v řádně odůvodněných případech s cílem dosáhnout specifických cílů v oblasti životního prostředí a klimatu stanovených v čl. 6 odst. 1 písm. d), e) a f).</w:t>
      </w:r>
    </w:p>
    <w:p w14:paraId="74C55F59" w14:textId="77777777" w:rsidR="00B87E14" w:rsidRPr="00892DB5" w:rsidRDefault="00B87E14" w:rsidP="00B87E14">
      <w:pPr>
        <w:rPr>
          <w:lang w:val="cs-CZ"/>
        </w:rPr>
      </w:pPr>
      <w:r w:rsidRPr="00892DB5">
        <w:rPr>
          <w:lang w:val="cs-CZ"/>
        </w:rPr>
        <w:t>V rámci článku 90 a 86 je definována i finanční flexibilita mezi přímými platbami a příděly z EZFRV. Je možné převést až 2 p. b. na doplňkovou podporu příjmu pro mladé zemědělce podle článku 27 a na založení činnosti mladého zemědělce podle definice v článku 69.</w:t>
      </w:r>
    </w:p>
    <w:p w14:paraId="52E7C920" w14:textId="77777777" w:rsidR="00B87E14" w:rsidRPr="00892DB5" w:rsidRDefault="00B87E14" w:rsidP="00B87E14">
      <w:pPr>
        <w:pStyle w:val="Titrearticle"/>
        <w:rPr>
          <w:noProof/>
        </w:rPr>
      </w:pPr>
      <w:r w:rsidRPr="00C35E53">
        <w:rPr>
          <w:rStyle w:val="PodnadpisChar"/>
        </w:rPr>
        <w:t>Článek 73</w:t>
      </w:r>
      <w:r w:rsidRPr="00C35E53">
        <w:rPr>
          <w:rStyle w:val="PodnadpisChar"/>
        </w:rPr>
        <w:br/>
      </w:r>
      <w:r w:rsidRPr="00892DB5">
        <w:rPr>
          <w:noProof/>
        </w:rPr>
        <w:t>Výběr operací</w:t>
      </w:r>
    </w:p>
    <w:p w14:paraId="211BAAC4" w14:textId="77777777" w:rsidR="00B87E14" w:rsidRPr="00892DB5" w:rsidRDefault="00B87E14" w:rsidP="00B87E14">
      <w:pPr>
        <w:pStyle w:val="ManualNumPar1"/>
        <w:ind w:left="1288" w:hanging="588"/>
        <w:rPr>
          <w:noProof/>
        </w:rPr>
      </w:pPr>
      <w:r w:rsidRPr="00892DB5">
        <w:t>1.</w:t>
      </w:r>
      <w:r w:rsidRPr="00892DB5">
        <w:tab/>
      </w:r>
      <w:r w:rsidRPr="00892DB5">
        <w:rPr>
          <w:noProof/>
        </w:rPr>
        <w:t xml:space="preserve">Řídicí orgán strategického plánu SZP nebo jiný určený zprostředkující </w:t>
      </w:r>
      <w:r w:rsidRPr="00892DB5">
        <w:rPr>
          <w:b/>
          <w:noProof/>
        </w:rPr>
        <w:t>subjekt definuje kritéria výběru pro následující typy intervencí</w:t>
      </w:r>
      <w:r w:rsidRPr="00892DB5">
        <w:rPr>
          <w:noProof/>
        </w:rPr>
        <w:t xml:space="preserve">: investice, </w:t>
      </w:r>
      <w:r w:rsidRPr="00892DB5">
        <w:rPr>
          <w:b/>
          <w:noProof/>
        </w:rPr>
        <w:t>založení činnosti mladého zemědělc</w:t>
      </w:r>
      <w:r w:rsidRPr="00892DB5">
        <w:rPr>
          <w:noProof/>
        </w:rPr>
        <w:t xml:space="preserve">e a venkovského podnikatelského startupu, spolupráce, výměna znalostí a informací, následné konzultace s monitorovacím </w:t>
      </w:r>
      <w:r w:rsidRPr="00892DB5">
        <w:rPr>
          <w:noProof/>
        </w:rPr>
        <w:lastRenderedPageBreak/>
        <w:t xml:space="preserve">výborem uvedeným v článku 111. Kritéria výběru by měla zajistit rovné zacházení s žadateli, lepší využívání finančních prostředků a zacílení podpory v souladu se záměrem intervencí. </w:t>
      </w:r>
    </w:p>
    <w:p w14:paraId="3D72E863" w14:textId="77777777" w:rsidR="00B87E14" w:rsidRPr="00892DB5" w:rsidRDefault="00B87E14" w:rsidP="00B87E14">
      <w:pPr>
        <w:pStyle w:val="Text1"/>
        <w:ind w:left="1288"/>
        <w:rPr>
          <w:noProof/>
          <w:lang w:val="cs-CZ"/>
        </w:rPr>
      </w:pPr>
      <w:r w:rsidRPr="00892DB5">
        <w:rPr>
          <w:noProof/>
          <w:lang w:val="cs-CZ"/>
        </w:rPr>
        <w:t xml:space="preserve">Členské státy se mohou rozhodnout, že na investiční intervence s jasným zaměřením na životní prostředí nebo realizované v souvislosti s činnostmi zaměřenými na obnovu se kritéria výběru nevztahují. </w:t>
      </w:r>
    </w:p>
    <w:p w14:paraId="7C49E6DE" w14:textId="77777777" w:rsidR="00B87E14" w:rsidRPr="00892DB5" w:rsidRDefault="00B87E14" w:rsidP="00B87E14">
      <w:pPr>
        <w:pStyle w:val="ManualNumPar1"/>
        <w:ind w:left="1288" w:hanging="588"/>
        <w:rPr>
          <w:noProof/>
        </w:rPr>
      </w:pPr>
      <w:r w:rsidRPr="00892DB5">
        <w:t>3.</w:t>
      </w:r>
      <w:r w:rsidRPr="00892DB5">
        <w:tab/>
      </w:r>
      <w:r w:rsidRPr="00892DB5">
        <w:rPr>
          <w:noProof/>
        </w:rPr>
        <w:t xml:space="preserve">Odstavec 1 se </w:t>
      </w:r>
      <w:r w:rsidRPr="00892DB5">
        <w:rPr>
          <w:b/>
          <w:noProof/>
        </w:rPr>
        <w:t>nepoužije</w:t>
      </w:r>
      <w:r w:rsidRPr="00892DB5">
        <w:rPr>
          <w:noProof/>
        </w:rPr>
        <w:t xml:space="preserve">, je-li podpora poskytnuta ve formě </w:t>
      </w:r>
      <w:r w:rsidRPr="00892DB5">
        <w:rPr>
          <w:b/>
          <w:noProof/>
        </w:rPr>
        <w:t>finančních nástrojů</w:t>
      </w:r>
      <w:r w:rsidRPr="00892DB5">
        <w:rPr>
          <w:noProof/>
        </w:rPr>
        <w:t>.</w:t>
      </w:r>
    </w:p>
    <w:p w14:paraId="1663B854" w14:textId="77777777" w:rsidR="00B87E14" w:rsidRPr="00892DB5" w:rsidRDefault="00B87E14" w:rsidP="00B87E14">
      <w:pPr>
        <w:pStyle w:val="Titrearticle"/>
        <w:spacing w:before="120"/>
        <w:rPr>
          <w:szCs w:val="24"/>
        </w:rPr>
      </w:pPr>
      <w:r w:rsidRPr="00C35E53">
        <w:rPr>
          <w:rStyle w:val="PodnadpisChar"/>
          <w:i/>
          <w:iCs/>
        </w:rPr>
        <w:t>Článek 90</w:t>
      </w:r>
      <w:r w:rsidRPr="00C35E53">
        <w:rPr>
          <w:rStyle w:val="PodnadpisChar"/>
          <w:i/>
          <w:iCs/>
        </w:rPr>
        <w:br/>
      </w:r>
      <w:r w:rsidRPr="00892DB5">
        <w:t xml:space="preserve">Flexibilita mezi příděly přímých plateb a příděly z EZFRV </w:t>
      </w:r>
    </w:p>
    <w:p w14:paraId="0AA334CD" w14:textId="77777777" w:rsidR="00B87E14" w:rsidRPr="00892DB5" w:rsidRDefault="00B87E14" w:rsidP="00B87E14">
      <w:pPr>
        <w:pStyle w:val="ManualNumPar1"/>
        <w:ind w:left="1418" w:hanging="709"/>
      </w:pPr>
      <w:r w:rsidRPr="00892DB5">
        <w:t>1.     Členské státy se mohou v rámci návrhů svých strategických plánů SZP podle čl. 106 odst. 1 rozhodnout převést:</w:t>
      </w:r>
    </w:p>
    <w:p w14:paraId="322D5E7C" w14:textId="77777777" w:rsidR="00B87E14" w:rsidRPr="00892DB5" w:rsidRDefault="00B87E14" w:rsidP="00B87E14">
      <w:pPr>
        <w:pStyle w:val="Point1"/>
        <w:ind w:left="1985"/>
      </w:pPr>
      <w:r w:rsidRPr="00892DB5">
        <w:t>a)   až 15 % svého přídělu na přímé platby stanoveného v příloze IV po odečtení přídělů na bavlnu dle přílohy VI na kalendářní roky 2021 až 2026 do svého přídělu na EZFRV v rozpočtových letech 2022–2027; nebo</w:t>
      </w:r>
    </w:p>
    <w:p w14:paraId="118E95DD" w14:textId="77777777" w:rsidR="00B87E14" w:rsidRPr="00892DB5" w:rsidRDefault="00B87E14" w:rsidP="00B87E14">
      <w:pPr>
        <w:pStyle w:val="Point1"/>
        <w:ind w:left="1985"/>
      </w:pPr>
      <w:r w:rsidRPr="00892DB5">
        <w:t xml:space="preserve">b)   až 15 % svého přídělu na EZFRV v rozpočtových letech 2022–2027 do svého přídělu na přímé platby stanoveného v příloze IV na kalendářní roky 2021 až 2026. </w:t>
      </w:r>
    </w:p>
    <w:p w14:paraId="2617F875" w14:textId="77777777" w:rsidR="00B87E14" w:rsidRPr="00892DB5" w:rsidRDefault="00B87E14" w:rsidP="00B87E14">
      <w:pPr>
        <w:pStyle w:val="Text1"/>
        <w:ind w:left="700"/>
        <w:rPr>
          <w:lang w:val="cs-CZ"/>
        </w:rPr>
      </w:pPr>
      <w:r w:rsidRPr="00892DB5">
        <w:rPr>
          <w:lang w:val="cs-CZ"/>
        </w:rPr>
        <w:t>Procento převáděných prostředků z přídělu členského státu na přímé platby do přídělu na EZFRV uvedené v prvním pododstavci lze zvýšit o:</w:t>
      </w:r>
    </w:p>
    <w:p w14:paraId="00A36AB0" w14:textId="77777777" w:rsidR="00B87E14" w:rsidRPr="00892DB5" w:rsidRDefault="00B87E14" w:rsidP="00B87E14">
      <w:pPr>
        <w:pStyle w:val="Point1"/>
        <w:ind w:hanging="3"/>
      </w:pPr>
      <w:r w:rsidRPr="00892DB5">
        <w:t xml:space="preserve">b)   </w:t>
      </w:r>
      <w:r w:rsidRPr="00892DB5">
        <w:rPr>
          <w:b/>
        </w:rPr>
        <w:t>až 2 procentní body, pokud členský stát odpovídající navýšení použije v souladu s čl. 86 odst. 4 písm. b).</w:t>
      </w:r>
    </w:p>
    <w:p w14:paraId="18408EAC" w14:textId="77777777" w:rsidR="00B87E14" w:rsidRPr="00892DB5" w:rsidRDefault="00B87E14" w:rsidP="00B87E14">
      <w:pPr>
        <w:pStyle w:val="Titrearticle"/>
        <w:spacing w:before="120"/>
      </w:pPr>
      <w:r w:rsidRPr="00AA124D">
        <w:rPr>
          <w:rStyle w:val="PodnadpisChar"/>
          <w:i/>
          <w:iCs/>
        </w:rPr>
        <w:t>Článek 86</w:t>
      </w:r>
      <w:r w:rsidRPr="00AA124D">
        <w:rPr>
          <w:rStyle w:val="PodnadpisChar"/>
          <w:i/>
          <w:iCs/>
        </w:rPr>
        <w:br/>
      </w:r>
      <w:r w:rsidRPr="00892DB5">
        <w:t>Minimální a maximální finanční příděly</w:t>
      </w:r>
    </w:p>
    <w:p w14:paraId="7FAE20D1" w14:textId="77777777" w:rsidR="00B87E14" w:rsidRPr="00892DB5" w:rsidRDefault="00B87E14" w:rsidP="00B87E14">
      <w:pPr>
        <w:pStyle w:val="ManualNumPar1"/>
        <w:ind w:left="1470" w:hanging="784"/>
        <w:contextualSpacing/>
      </w:pPr>
      <w:r w:rsidRPr="00892DB5">
        <w:t xml:space="preserve">4.     Pro každý členský stát je minimální částka stanovená v příloze X vyhrazena na příspěvek na specifický cíl „získávat mladé zemědělce a usnadňovat rozvoj podnikání ve venkovských oblastech“ podle čl. 6 odst. 1 písm. g). Na základě analýzy situace z hlediska silných a slabých stránek, příležitostí a hrozeb („analýza SWOT“) a identifikace potřeb, které je třeba řešit, bude tato částka použita na následující typy intervencí: </w:t>
      </w:r>
    </w:p>
    <w:p w14:paraId="562DF071" w14:textId="77777777" w:rsidR="00B87E14" w:rsidRPr="00892DB5" w:rsidRDefault="00B87E14" w:rsidP="00B87E14">
      <w:pPr>
        <w:pStyle w:val="Point1"/>
        <w:ind w:firstLine="1"/>
        <w:contextualSpacing/>
        <w:rPr>
          <w:b/>
        </w:rPr>
      </w:pPr>
      <w:r w:rsidRPr="00892DB5">
        <w:rPr>
          <w:b/>
        </w:rPr>
        <w:t>a)   doplňková podpora příjmu pro mladé zemědělce podle článku 27;</w:t>
      </w:r>
    </w:p>
    <w:p w14:paraId="3B6E00AF" w14:textId="77777777" w:rsidR="00B87E14" w:rsidRPr="00892DB5" w:rsidRDefault="00B87E14" w:rsidP="00B87E14">
      <w:pPr>
        <w:pStyle w:val="Point1"/>
        <w:ind w:firstLine="1"/>
        <w:contextualSpacing/>
        <w:rPr>
          <w:b/>
        </w:rPr>
      </w:pPr>
      <w:r w:rsidRPr="00892DB5">
        <w:rPr>
          <w:b/>
        </w:rPr>
        <w:t>b)   založení činnosti mladého zemědělce podle definice v článku 69.</w:t>
      </w:r>
    </w:p>
    <w:p w14:paraId="061D070E" w14:textId="77777777" w:rsidR="00B87E14" w:rsidRPr="00AA124D" w:rsidRDefault="00B87E14" w:rsidP="00B87E14">
      <w:pPr>
        <w:pStyle w:val="Titrearticle"/>
        <w:spacing w:before="120"/>
        <w:rPr>
          <w:rStyle w:val="PodnadpisChar"/>
          <w:i/>
          <w:iCs/>
        </w:rPr>
      </w:pPr>
      <w:r w:rsidRPr="00AA124D">
        <w:rPr>
          <w:rStyle w:val="PodnadpisChar"/>
          <w:i/>
          <w:iCs/>
        </w:rPr>
        <w:t>Článek 103</w:t>
      </w:r>
    </w:p>
    <w:p w14:paraId="22A45085" w14:textId="77777777" w:rsidR="00B87E14" w:rsidRPr="00892DB5" w:rsidRDefault="00B87E14" w:rsidP="00B87E14">
      <w:pPr>
        <w:jc w:val="center"/>
        <w:rPr>
          <w:i/>
          <w:lang w:val="cs-CZ"/>
        </w:rPr>
      </w:pPr>
      <w:r w:rsidRPr="00892DB5">
        <w:rPr>
          <w:i/>
          <w:lang w:val="cs-CZ"/>
        </w:rPr>
        <w:t>Přílohy</w:t>
      </w:r>
    </w:p>
    <w:p w14:paraId="77031C72" w14:textId="77777777" w:rsidR="00C65942" w:rsidRPr="00892DB5" w:rsidRDefault="00B87E14" w:rsidP="00B87E14">
      <w:pPr>
        <w:tabs>
          <w:tab w:val="left" w:pos="1418"/>
        </w:tabs>
        <w:ind w:left="1418" w:hanging="709"/>
        <w:rPr>
          <w:lang w:val="cs-CZ"/>
        </w:rPr>
      </w:pPr>
      <w:r w:rsidRPr="00892DB5">
        <w:rPr>
          <w:lang w:val="cs-CZ"/>
        </w:rPr>
        <w:t xml:space="preserve">2. </w:t>
      </w:r>
      <w:r w:rsidRPr="00892DB5">
        <w:rPr>
          <w:lang w:val="cs-CZ"/>
        </w:rPr>
        <w:tab/>
        <w:t>U specifického cíle získávání mladých zemědělců uvedeného v čl. 6 odst. 1 písm. g) analýza SWOT obsahuje krátkou analýzu přístupu k půdě, půdní mobility a restrukturalizace půdy, přístupu k financím a úvěrům a přístupu ke znalostem a poradenství.</w:t>
      </w:r>
    </w:p>
    <w:p w14:paraId="14B1CD25" w14:textId="0F422145" w:rsidR="00B87E14" w:rsidRPr="00892DB5" w:rsidRDefault="00B87E14" w:rsidP="00B87E14">
      <w:pPr>
        <w:tabs>
          <w:tab w:val="left" w:pos="1418"/>
        </w:tabs>
        <w:ind w:left="1418" w:hanging="709"/>
        <w:rPr>
          <w:lang w:val="cs-CZ"/>
        </w:rPr>
      </w:pPr>
      <w:r w:rsidRPr="00892DB5">
        <w:rPr>
          <w:lang w:val="cs-CZ"/>
        </w:rPr>
        <w:tab/>
      </w:r>
    </w:p>
    <w:p w14:paraId="2E64B481" w14:textId="77777777" w:rsidR="004643E9" w:rsidRDefault="004643E9" w:rsidP="004643E9">
      <w:bookmarkStart w:id="12" w:name="_Toc80347808"/>
      <w:r>
        <w:br w:type="page"/>
      </w:r>
    </w:p>
    <w:p w14:paraId="01DD4829" w14:textId="5FB87A0F" w:rsidR="0000288B" w:rsidRDefault="0000288B" w:rsidP="000E3988">
      <w:pPr>
        <w:pStyle w:val="Nadpis1"/>
      </w:pPr>
      <w:bookmarkStart w:id="13" w:name="_Toc81752172"/>
      <w:r w:rsidRPr="004643E9">
        <w:lastRenderedPageBreak/>
        <w:t>Stanovení</w:t>
      </w:r>
      <w:r w:rsidR="00C65942" w:rsidRPr="004643E9">
        <w:t xml:space="preserve"> skutečného</w:t>
      </w:r>
      <w:r w:rsidRPr="004643E9">
        <w:t xml:space="preserve"> problému, na který má politika reagovat</w:t>
      </w:r>
      <w:bookmarkEnd w:id="12"/>
      <w:bookmarkEnd w:id="13"/>
    </w:p>
    <w:p w14:paraId="52ABA693" w14:textId="7301A49C" w:rsidR="0000288B" w:rsidRPr="00892DB5" w:rsidRDefault="0000288B" w:rsidP="00B3112E">
      <w:pPr>
        <w:pStyle w:val="UZEIOdrky"/>
      </w:pPr>
      <w:r w:rsidRPr="00892DB5">
        <w:t xml:space="preserve">V oblasti pracovních sil v zemědělství ČR dlouhodobě přetrvává </w:t>
      </w:r>
      <w:r w:rsidRPr="00892DB5">
        <w:rPr>
          <w:b/>
        </w:rPr>
        <w:t>nepříznivá věková struktura</w:t>
      </w:r>
      <w:r w:rsidRPr="00892DB5">
        <w:t xml:space="preserve">. Obdobná situace je v případě </w:t>
      </w:r>
      <w:r w:rsidRPr="00892DB5">
        <w:rPr>
          <w:b/>
          <w:bCs/>
        </w:rPr>
        <w:t>samostatně hospodařících podnikatelů</w:t>
      </w:r>
      <w:r w:rsidRPr="00892DB5">
        <w:t xml:space="preserve"> (</w:t>
      </w:r>
      <w:r w:rsidRPr="00892DB5">
        <w:rPr>
          <w:b/>
          <w:bCs/>
        </w:rPr>
        <w:t>vedoucích/manažerů</w:t>
      </w:r>
      <w:r w:rsidRPr="00892DB5">
        <w:t xml:space="preserve"> zemědělských podniků), kde v kategorii do 40 let je podíl vedoucích pracovníků 10,2 %, což je téměř 3krát méně než v kategorii nad 65 let, kde podíl vedoucích činí 26,8 %, a dokonce až 6krát méně, pokud bere v úvahu kategorii již nad 55 let, kde byl podíl 58,8 % (Eurostat, 2018).</w:t>
      </w:r>
    </w:p>
    <w:p w14:paraId="1E22341D" w14:textId="2114FC98" w:rsidR="0000288B" w:rsidRPr="00892DB5" w:rsidRDefault="0000288B" w:rsidP="00B3112E">
      <w:pPr>
        <w:pStyle w:val="UZEIOdrky"/>
      </w:pPr>
      <w:r w:rsidRPr="00892DB5">
        <w:t>Ve srovnání se zeměmi EU patří ČR mezi země s průměrným podílem starších vedoucích nad 65 let (26,8 % vs. průměr EU28 27,5 %) a mladších 40 let (10,2 % vs. průměr EU28 10,9 %), dále patří mezi země s nejnižším podílem vedoucích do 25 let (0,4 % vs. průměr EU28 0,7 %) (Eurostat, 2018).</w:t>
      </w:r>
    </w:p>
    <w:p w14:paraId="213606CB" w14:textId="77777777" w:rsidR="0000288B" w:rsidRPr="00892DB5" w:rsidRDefault="0000288B" w:rsidP="00B3112E">
      <w:pPr>
        <w:pStyle w:val="UZEIOdrky"/>
      </w:pPr>
      <w:r w:rsidRPr="00892DB5">
        <w:t>Situace se nijak zásadně nezlepšuje a je tak ohrožena úspěšnost generační obměny v resortu a udržení konkurenceschopnosti českého zemědělství.</w:t>
      </w:r>
    </w:p>
    <w:p w14:paraId="30AF4D73" w14:textId="77777777" w:rsidR="0000288B" w:rsidRPr="00892DB5" w:rsidRDefault="0000288B" w:rsidP="00B3112E">
      <w:pPr>
        <w:pStyle w:val="UZEIOdrky"/>
      </w:pPr>
      <w:r w:rsidRPr="00892DB5">
        <w:rPr>
          <w:b/>
        </w:rPr>
        <w:t>Vzdělanostní struktura</w:t>
      </w:r>
      <w:r w:rsidRPr="00892DB5">
        <w:t xml:space="preserve"> doznává mírného zlepšení (mezi lety 2013 a 2016 poklesl podíl vedoucích pracovníků pouze s praktickými zkušenostmi z 46,7 % na 42,8 % a naopak vzrostl poměr vedoucích s úplným zemědělských vzděláním z 34,6 % na 38,7 %)</w:t>
      </w:r>
      <w:r w:rsidRPr="00892DB5">
        <w:rPr>
          <w:rStyle w:val="Znakapoznpodarou"/>
        </w:rPr>
        <w:footnoteReference w:id="2"/>
      </w:r>
      <w:r w:rsidRPr="00892DB5">
        <w:t xml:space="preserve">, ale je nutné brát v úvahu rostoucí nároky na znalosti a dovednosti pro obsluhu moderních technologií. </w:t>
      </w:r>
    </w:p>
    <w:p w14:paraId="503AF4FD" w14:textId="77777777" w:rsidR="0000288B" w:rsidRPr="00892DB5" w:rsidRDefault="0000288B" w:rsidP="00B3112E">
      <w:pPr>
        <w:pStyle w:val="UZEIOdrky"/>
      </w:pPr>
      <w:r w:rsidRPr="00892DB5">
        <w:t>Obecně zemědělští manažeři v ČR patří k v EU k nejvzdělanějším (dle Eurostatu (2016) – v roce 2013 byl v ČR 2. nejvyšší podíl manažerů s kompletním zemědělským vzděláním a 3. nejvyšší podíl manažerů do 35 let s kompletním zemědělským vzděláním).</w:t>
      </w:r>
    </w:p>
    <w:p w14:paraId="00D5814E" w14:textId="77777777" w:rsidR="0000288B" w:rsidRPr="00892DB5" w:rsidRDefault="0000288B" w:rsidP="00B3112E">
      <w:pPr>
        <w:pStyle w:val="UZEIOdrky"/>
      </w:pPr>
      <w:r w:rsidRPr="00892DB5">
        <w:t xml:space="preserve">Je </w:t>
      </w:r>
      <w:r w:rsidRPr="00892DB5">
        <w:rPr>
          <w:b/>
          <w:bCs/>
        </w:rPr>
        <w:t>potřeba</w:t>
      </w:r>
      <w:r w:rsidRPr="00892DB5">
        <w:t xml:space="preserve"> </w:t>
      </w:r>
      <w:r w:rsidRPr="00892DB5">
        <w:rPr>
          <w:b/>
          <w:bCs/>
        </w:rPr>
        <w:t>přilákat mladé zemědělce do odvětví</w:t>
      </w:r>
      <w:r w:rsidRPr="00892DB5">
        <w:t xml:space="preserve"> (hlavní identifikovaná potřeba je: </w:t>
      </w:r>
      <w:r w:rsidRPr="00892DB5">
        <w:rPr>
          <w:b/>
          <w:bCs/>
        </w:rPr>
        <w:t>získávání mladých zemědělců</w:t>
      </w:r>
      <w:r w:rsidRPr="00892DB5">
        <w:t>).</w:t>
      </w:r>
    </w:p>
    <w:p w14:paraId="19CE3653" w14:textId="77777777" w:rsidR="0000288B" w:rsidRPr="00892DB5" w:rsidRDefault="0000288B" w:rsidP="00B3112E">
      <w:pPr>
        <w:pStyle w:val="UZEIOdrky"/>
      </w:pPr>
      <w:r w:rsidRPr="00892DB5">
        <w:t xml:space="preserve">Je potřeba mladé motivovat k zemědělské činnosti (zde je problémem nedostatečné povědomí mladých absolventů zemědělských škol o situaci v zemědělství). </w:t>
      </w:r>
    </w:p>
    <w:p w14:paraId="1706CF58" w14:textId="77777777" w:rsidR="0000288B" w:rsidRPr="00892DB5" w:rsidRDefault="0000288B" w:rsidP="00B3112E">
      <w:pPr>
        <w:pStyle w:val="UZEIOdrky"/>
      </w:pPr>
      <w:r w:rsidRPr="00892DB5">
        <w:t xml:space="preserve">Dále je potřeba usnadnit začátky podnikání, protože při zahájení podnikání čelí mladí zemědělci různým překážkám a bariérám, které jim start komplikují a někdy až znemožňují. Tyto lze rozdělit do tří skupin: </w:t>
      </w:r>
    </w:p>
    <w:p w14:paraId="7B4D22FE" w14:textId="77777777" w:rsidR="0000288B" w:rsidRPr="00892DB5" w:rsidRDefault="0000288B" w:rsidP="0000288B">
      <w:pPr>
        <w:pStyle w:val="Odstavecseseznamem"/>
        <w:numPr>
          <w:ilvl w:val="1"/>
          <w:numId w:val="5"/>
        </w:numPr>
      </w:pPr>
      <w:r w:rsidRPr="00892DB5">
        <w:t xml:space="preserve">(1) Problém se získáním půdy pro zahájení a rozvoj zemědělské činnosti mladých zemědělců; </w:t>
      </w:r>
    </w:p>
    <w:p w14:paraId="59445F6C" w14:textId="77777777" w:rsidR="0000288B" w:rsidRPr="00892DB5" w:rsidRDefault="0000288B" w:rsidP="0000288B">
      <w:pPr>
        <w:pStyle w:val="Odstavecseseznamem"/>
        <w:numPr>
          <w:ilvl w:val="1"/>
          <w:numId w:val="5"/>
        </w:numPr>
      </w:pPr>
      <w:r w:rsidRPr="00892DB5">
        <w:t xml:space="preserve">(2) Problém s nedostatkem financí na investice do hmotného investičního majetku; </w:t>
      </w:r>
    </w:p>
    <w:p w14:paraId="2F0D9F1B" w14:textId="77777777" w:rsidR="0000288B" w:rsidRPr="00892DB5" w:rsidRDefault="0000288B" w:rsidP="0000288B">
      <w:pPr>
        <w:pStyle w:val="Odstavecseseznamem"/>
        <w:numPr>
          <w:ilvl w:val="1"/>
          <w:numId w:val="5"/>
        </w:numPr>
      </w:pPr>
      <w:r w:rsidRPr="00892DB5">
        <w:t>(3) Problém s nedostatkem vhodného typu poradenství při zahájení a rozvoji zemědělské činnosti mladých zemědělců.</w:t>
      </w:r>
    </w:p>
    <w:p w14:paraId="389DA5BA" w14:textId="09F72DF3" w:rsidR="007C634C" w:rsidRDefault="0000288B" w:rsidP="00B3112E">
      <w:pPr>
        <w:pStyle w:val="UZEIOdrky"/>
      </w:pPr>
      <w:r w:rsidRPr="00892DB5">
        <w:t>V neposlední řadě je také potřeba usnadnit odchod starším zemědělcům, kteří buď nemají nástupce nebo nejsou motivováni k tomu, aby své hospodářství prodali nebo předali nástupcům.</w:t>
      </w:r>
    </w:p>
    <w:p w14:paraId="48CD6060" w14:textId="3E81DFF8" w:rsidR="0000288B" w:rsidRPr="007C634C" w:rsidRDefault="007C634C" w:rsidP="007C634C">
      <w:pPr>
        <w:spacing w:after="160" w:line="259" w:lineRule="auto"/>
        <w:jc w:val="left"/>
        <w:rPr>
          <w:rFonts w:eastAsia="Times New Roman" w:cs="Calibri"/>
          <w:color w:val="000000"/>
          <w:szCs w:val="24"/>
          <w:lang w:val="cs-CZ"/>
        </w:rPr>
      </w:pPr>
      <w:r>
        <w:br w:type="page"/>
      </w:r>
    </w:p>
    <w:p w14:paraId="3A49CBCF" w14:textId="6750CD02" w:rsidR="0000288B" w:rsidRPr="00231F37" w:rsidRDefault="0000288B" w:rsidP="00E70C51">
      <w:pPr>
        <w:pStyle w:val="Nadpis1"/>
      </w:pPr>
      <w:bookmarkStart w:id="14" w:name="_Toc80347809"/>
      <w:bookmarkStart w:id="15" w:name="_Toc81752173"/>
      <w:r w:rsidRPr="00231F37">
        <w:lastRenderedPageBreak/>
        <w:t>Mechanismus a příčiny vzniku problému</w:t>
      </w:r>
      <w:bookmarkEnd w:id="14"/>
      <w:bookmarkEnd w:id="15"/>
    </w:p>
    <w:p w14:paraId="74406379" w14:textId="2C6A10B6" w:rsidR="0000288B" w:rsidRDefault="0000288B" w:rsidP="00E70C51">
      <w:pPr>
        <w:pStyle w:val="Nadpis2"/>
      </w:pPr>
      <w:bookmarkStart w:id="16" w:name="_Toc80347810"/>
      <w:bookmarkStart w:id="17" w:name="_Toc81752174"/>
      <w:r w:rsidRPr="00231F37">
        <w:t>Stručný přehled příčin vzniku problému</w:t>
      </w:r>
      <w:bookmarkEnd w:id="16"/>
      <w:bookmarkEnd w:id="17"/>
    </w:p>
    <w:p w14:paraId="6534FEEF" w14:textId="77777777" w:rsidR="0000288B" w:rsidRPr="00892DB5" w:rsidRDefault="0000288B" w:rsidP="0000288B">
      <w:pPr>
        <w:rPr>
          <w:lang w:val="cs-CZ"/>
        </w:rPr>
      </w:pPr>
      <w:r w:rsidRPr="00892DB5">
        <w:rPr>
          <w:lang w:val="cs-CZ"/>
        </w:rPr>
        <w:t>Nepříznivá věková struktura v resortu je způsobena působením většího počtu faktorů:</w:t>
      </w:r>
    </w:p>
    <w:p w14:paraId="3D24F8E8" w14:textId="65CA2292" w:rsidR="0000288B" w:rsidRPr="004F16FD" w:rsidRDefault="0000288B" w:rsidP="00BC51CC">
      <w:pPr>
        <w:pStyle w:val="Nadpis3"/>
        <w:rPr>
          <w:lang w:val="cs-CZ"/>
        </w:rPr>
      </w:pPr>
      <w:bookmarkStart w:id="18" w:name="_Toc80347811"/>
      <w:bookmarkStart w:id="19" w:name="_Toc81752175"/>
      <w:r w:rsidRPr="004F16FD">
        <w:rPr>
          <w:lang w:val="cs-CZ"/>
        </w:rPr>
        <w:t>Mzdová disparita</w:t>
      </w:r>
      <w:bookmarkEnd w:id="18"/>
      <w:bookmarkEnd w:id="19"/>
    </w:p>
    <w:p w14:paraId="4E6DAD34" w14:textId="77777777" w:rsidR="0000288B" w:rsidRPr="00892DB5" w:rsidRDefault="0000288B" w:rsidP="00C11CEA">
      <w:pPr>
        <w:pStyle w:val="UZEIOdrky"/>
        <w:ind w:left="714" w:hanging="357"/>
      </w:pPr>
      <w:r w:rsidRPr="00892DB5">
        <w:t>Jedním z nejvýznamnějších faktorů je stále nižší příjmová, resp. mzdová</w:t>
      </w:r>
      <w:r w:rsidRPr="00C11CEA">
        <w:footnoteReference w:id="3"/>
      </w:r>
      <w:r w:rsidRPr="00892DB5">
        <w:t xml:space="preserve"> úroveň v porovnání s jinými sektory, i s přihlédnutím k náročnosti manažerské i manuální zemědělské práce. I když se situace zlepšuje, </w:t>
      </w:r>
      <w:r w:rsidRPr="00C11CEA">
        <w:t xml:space="preserve">mzdová disparita </w:t>
      </w:r>
      <w:r w:rsidRPr="00892DB5">
        <w:t xml:space="preserve">(běžná i v jiných zemích EU) stále existuje, a tak sektor zůstává méně atraktivním pro mladé a kvalifikované pracovníky. </w:t>
      </w:r>
    </w:p>
    <w:p w14:paraId="609A8452" w14:textId="289E3B6C" w:rsidR="0000288B" w:rsidRPr="004F16FD" w:rsidRDefault="0000288B" w:rsidP="00BC51CC">
      <w:pPr>
        <w:pStyle w:val="Nadpis3"/>
        <w:rPr>
          <w:lang w:val="cs-CZ"/>
        </w:rPr>
      </w:pPr>
      <w:bookmarkStart w:id="20" w:name="_Toc80347812"/>
      <w:bookmarkStart w:id="21" w:name="_Toc81752176"/>
      <w:r w:rsidRPr="004F16FD">
        <w:rPr>
          <w:lang w:val="cs-CZ"/>
        </w:rPr>
        <w:t>Příjmová disparita</w:t>
      </w:r>
      <w:bookmarkEnd w:id="20"/>
      <w:bookmarkEnd w:id="21"/>
    </w:p>
    <w:p w14:paraId="22D3353A" w14:textId="77777777" w:rsidR="0000288B" w:rsidRPr="00892DB5" w:rsidRDefault="0000288B" w:rsidP="00C11CEA">
      <w:pPr>
        <w:pStyle w:val="UZEIOdrky"/>
        <w:ind w:left="714" w:hanging="357"/>
      </w:pPr>
      <w:r w:rsidRPr="00892DB5">
        <w:t xml:space="preserve">Nižší mzdy v zemědělství úzce souvisí s </w:t>
      </w:r>
      <w:r w:rsidRPr="00C11CEA">
        <w:t>hospodářskými výsledky podniků</w:t>
      </w:r>
      <w:r w:rsidRPr="00892DB5">
        <w:t xml:space="preserve">. Nižší pružnost vedoucích pracovníků v často důchodovém věku ovlivňuje dosahované hospodářské výsledky podniků. Nároky na kvalifikaci a kvalitu pracovních sil v zemědělství totiž v souvislosti s technickým a technologickým rozvojem narůstají. </w:t>
      </w:r>
    </w:p>
    <w:p w14:paraId="1BADBA14" w14:textId="0B34E0F9" w:rsidR="0000288B" w:rsidRPr="004F16FD" w:rsidRDefault="0000288B" w:rsidP="004F16FD">
      <w:pPr>
        <w:pStyle w:val="Nadpis3"/>
      </w:pPr>
      <w:bookmarkStart w:id="22" w:name="_Toc80347813"/>
      <w:bookmarkStart w:id="23" w:name="_Toc81752177"/>
      <w:r w:rsidRPr="004F16FD">
        <w:t>Přístup k půdě</w:t>
      </w:r>
      <w:bookmarkEnd w:id="22"/>
      <w:bookmarkEnd w:id="23"/>
    </w:p>
    <w:p w14:paraId="72C85A18" w14:textId="77777777" w:rsidR="0000288B" w:rsidRPr="00892DB5" w:rsidRDefault="0000288B" w:rsidP="00FF31EB">
      <w:pPr>
        <w:pStyle w:val="UZEIOdrky"/>
      </w:pPr>
      <w:r w:rsidRPr="00892DB5">
        <w:t xml:space="preserve">Podle studie Ecorys, LEI a Aequator Groen &amp; Ruimte (2015), která sumarizuje obecné potřeby, které uvádí mladí zemědělci v České republice jako zásadní pro případné zahájení samostatné zemědělské činnosti, je nejproblematičtější </w:t>
      </w:r>
      <w:r w:rsidRPr="00892DB5">
        <w:rPr>
          <w:b/>
        </w:rPr>
        <w:t>přístup k půdě jak v podobě její koupě, tak k nájmu</w:t>
      </w:r>
      <w:r w:rsidRPr="00892DB5">
        <w:t>. To potvrdila i studie ÚZEI (2018), kde nákup nebo pronájem zemědělských pozemků uvádí mladí zemědělci jako zásadní obtíž při založení firmy.</w:t>
      </w:r>
    </w:p>
    <w:p w14:paraId="0B3539D7" w14:textId="77777777" w:rsidR="0000288B" w:rsidRPr="00892DB5" w:rsidRDefault="0000288B" w:rsidP="004F16FD">
      <w:pPr>
        <w:pStyle w:val="UZEIOdrky"/>
      </w:pPr>
      <w:r w:rsidRPr="00892DB5">
        <w:t xml:space="preserve">Rovněž Zagata et al. (2017) potvrzuje jako obtížný </w:t>
      </w:r>
      <w:r w:rsidRPr="00892DB5">
        <w:rPr>
          <w:b/>
        </w:rPr>
        <w:t>přístup k půdě</w:t>
      </w:r>
      <w:r w:rsidRPr="00892DB5">
        <w:t>, který znesnadňuje jednak omezená dostupnost a omezené množství vysoce kvalitní půdy i zahraniční (nebo nezemědělské) investice do zemědělské půdy. Půda je pro nově vstupující do odvětví často také drahá, protože přímé platby SZP zvýšily cenu půdy a snížily pobídky k jejímu převádění / pronájmu / prodeji (viz např. Voltr, 2017)</w:t>
      </w:r>
    </w:p>
    <w:p w14:paraId="13F8AEF8" w14:textId="77777777" w:rsidR="0000288B" w:rsidRPr="00892DB5" w:rsidRDefault="0000288B" w:rsidP="004F16FD">
      <w:pPr>
        <w:pStyle w:val="UZEIOdrky"/>
      </w:pPr>
      <w:r w:rsidRPr="00892DB5">
        <w:t>S roztříštěným vlastnictvím půdy, kdy zemědělskou půdu o celkové výměře 4 200 tis. ha vlastní více jak 3,2 milionu vlastníků půdy, jsou spojené vyšší transakční náklady na změnu ve vlastnictví. (I když se v důsledku digitalizace katastru nemovitostí a realizaci pozemkových úprav situace v čase zlepšuje).</w:t>
      </w:r>
    </w:p>
    <w:p w14:paraId="465D2CF8" w14:textId="4B3C5431" w:rsidR="0000288B" w:rsidRPr="00C11CEA" w:rsidRDefault="0000288B" w:rsidP="00C11CEA">
      <w:pPr>
        <w:pStyle w:val="Nadpis3"/>
      </w:pPr>
      <w:bookmarkStart w:id="24" w:name="_Toc80347814"/>
      <w:bookmarkStart w:id="25" w:name="_Toc81752178"/>
      <w:r w:rsidRPr="00C11CEA">
        <w:t>Přístup k financím a kapitálu</w:t>
      </w:r>
      <w:bookmarkEnd w:id="24"/>
      <w:bookmarkEnd w:id="25"/>
    </w:p>
    <w:p w14:paraId="7F930DDE" w14:textId="77777777" w:rsidR="0000288B" w:rsidRPr="00892DB5" w:rsidRDefault="0000288B" w:rsidP="00C11CEA">
      <w:pPr>
        <w:pStyle w:val="UZEIOdrky"/>
      </w:pPr>
      <w:r w:rsidRPr="00892DB5">
        <w:rPr>
          <w:b/>
        </w:rPr>
        <w:t>Přístup k financím a kapitálu</w:t>
      </w:r>
      <w:r w:rsidRPr="00892DB5">
        <w:t xml:space="preserve"> je pro nově vstupující také velmi obtížný, protože nemají dostatek aktiv jako kolaterál (záruky), i když v ČR je oproti ostatním zemím EU situace příznivější. (Zagata et al., 2017) </w:t>
      </w:r>
    </w:p>
    <w:p w14:paraId="4787ED71" w14:textId="77777777" w:rsidR="0000288B" w:rsidRPr="00892DB5" w:rsidRDefault="0000288B" w:rsidP="00C11CEA">
      <w:pPr>
        <w:pStyle w:val="UZEIOdrky"/>
      </w:pPr>
      <w:r w:rsidRPr="00892DB5">
        <w:t>Pro zemědělce, kteří nově vstupují do sektoru, je těžké se vyrovnat s </w:t>
      </w:r>
      <w:r w:rsidRPr="00892DB5">
        <w:rPr>
          <w:b/>
        </w:rPr>
        <w:t>volatilitou cen</w:t>
      </w:r>
      <w:r w:rsidRPr="00892DB5">
        <w:t xml:space="preserve"> vstupů i produkce. Proto často začínají podnikat v odvětvích ŽV nebo RV, kde jsou nižší náklady na zahájení činnosti („tržní výklenky“ apod., kde dosahují i vyšších marží). (Zagata et al., 2017) Jedná se například o chov ovcí.</w:t>
      </w:r>
    </w:p>
    <w:p w14:paraId="44ACE231" w14:textId="5549C447" w:rsidR="0000288B" w:rsidRPr="00C11CEA" w:rsidRDefault="0000288B" w:rsidP="00C11CEA">
      <w:pPr>
        <w:pStyle w:val="Nadpis3"/>
      </w:pPr>
      <w:bookmarkStart w:id="26" w:name="_Toc80347815"/>
      <w:bookmarkStart w:id="27" w:name="_Toc81752179"/>
      <w:r w:rsidRPr="00C11CEA">
        <w:lastRenderedPageBreak/>
        <w:t>Přístup ke znalostem a poradenství</w:t>
      </w:r>
      <w:bookmarkEnd w:id="26"/>
      <w:bookmarkEnd w:id="27"/>
    </w:p>
    <w:p w14:paraId="376E38FC" w14:textId="77777777" w:rsidR="0000288B" w:rsidRPr="00892DB5" w:rsidRDefault="0000288B" w:rsidP="00C11CEA">
      <w:pPr>
        <w:pStyle w:val="UZEIOdrky"/>
      </w:pPr>
      <w:r w:rsidRPr="00892DB5">
        <w:t xml:space="preserve">Dle studie Ecorys, LEI a Aequator Groen &amp; Ruimte (2015) pro mladé zemědělce důležité dotace na nákup strojů, </w:t>
      </w:r>
      <w:r w:rsidRPr="00892DB5">
        <w:rPr>
          <w:b/>
          <w:bCs/>
        </w:rPr>
        <w:t>přístup ke znalostem a dovednostem</w:t>
      </w:r>
      <w:r w:rsidRPr="00892DB5">
        <w:t xml:space="preserve"> a další záležitosti týkající se právního zajištění hospodářství. </w:t>
      </w:r>
    </w:p>
    <w:p w14:paraId="1A8CE474" w14:textId="77777777" w:rsidR="0000288B" w:rsidRPr="00892DB5" w:rsidRDefault="0000288B" w:rsidP="00C11CEA">
      <w:pPr>
        <w:pStyle w:val="UZEIOdrky"/>
      </w:pPr>
      <w:r w:rsidRPr="00892DB5">
        <w:t xml:space="preserve">Zatímco dochází v poslední době (po vstupu) k modernizaci výroby, </w:t>
      </w:r>
      <w:r w:rsidRPr="00892DB5">
        <w:rPr>
          <w:b/>
          <w:bCs/>
        </w:rPr>
        <w:t>deficity v kvalifikovanosti pracovní síly</w:t>
      </w:r>
      <w:r w:rsidRPr="00892DB5">
        <w:t xml:space="preserve"> přetrvávají. Na předpokladu, že „</w:t>
      </w:r>
      <w:r w:rsidRPr="00892DB5">
        <w:rPr>
          <w:bCs/>
        </w:rPr>
        <w:t>mladší generace je více otevřena přijímání nových poznatků a hospodářských praktik</w:t>
      </w:r>
      <w:r w:rsidRPr="00892DB5">
        <w:t xml:space="preserve">“, jsou založeny i podpory pro generační obměnu zemědělských manažerů (Ekotoxa a Ireas, 2016) – podpora zahájení činnosti mladých zemědělců. </w:t>
      </w:r>
    </w:p>
    <w:p w14:paraId="2A2505DE" w14:textId="77777777" w:rsidR="0000288B" w:rsidRPr="00892DB5" w:rsidRDefault="0000288B" w:rsidP="00C11CEA">
      <w:pPr>
        <w:pStyle w:val="UZEIOdrky"/>
      </w:pPr>
      <w:r w:rsidRPr="00892DB5">
        <w:t xml:space="preserve">V zemědělství hrají stále významnější úlohu </w:t>
      </w:r>
      <w:r w:rsidRPr="00892DB5">
        <w:rPr>
          <w:b/>
        </w:rPr>
        <w:t>poradenské, informační a vzdělávací služby</w:t>
      </w:r>
      <w:r w:rsidRPr="00892DB5">
        <w:t xml:space="preserve"> (AKIS), kde se může uplatnit větší počet mladých a vzdělaných. Kvalita služeb může do značné míry eliminovat požadavky na specifické vzdělání pracovníkův zemědělských podnicích.</w:t>
      </w:r>
    </w:p>
    <w:p w14:paraId="695ED350" w14:textId="760F1EC9" w:rsidR="0000288B" w:rsidRPr="00892DB5" w:rsidRDefault="0000288B" w:rsidP="006752D6">
      <w:pPr>
        <w:pStyle w:val="Nadpis3"/>
        <w:rPr>
          <w:lang w:val="cs-CZ"/>
        </w:rPr>
      </w:pPr>
      <w:bookmarkStart w:id="28" w:name="_Toc80347816"/>
      <w:bookmarkStart w:id="29" w:name="_Toc81752180"/>
      <w:r w:rsidRPr="00892DB5">
        <w:rPr>
          <w:lang w:val="cs-CZ"/>
        </w:rPr>
        <w:t>Administrativní náročnost</w:t>
      </w:r>
      <w:bookmarkEnd w:id="28"/>
      <w:bookmarkEnd w:id="29"/>
    </w:p>
    <w:p w14:paraId="75DD90B5" w14:textId="77777777" w:rsidR="0000288B" w:rsidRPr="00892DB5" w:rsidRDefault="0000288B" w:rsidP="000A4E38">
      <w:pPr>
        <w:pStyle w:val="UZEIOdrky"/>
      </w:pPr>
      <w:r w:rsidRPr="00892DB5">
        <w:t xml:space="preserve">Ve studii ÚZEI (2018) zemědělci uváděli mimo jiné i jako závažnou bariéru vstupu do odvětví </w:t>
      </w:r>
      <w:r w:rsidRPr="00892DB5">
        <w:rPr>
          <w:b/>
          <w:bCs/>
        </w:rPr>
        <w:t>administrativní zátěž</w:t>
      </w:r>
      <w:r w:rsidRPr="00892DB5">
        <w:t>.</w:t>
      </w:r>
    </w:p>
    <w:p w14:paraId="50055821" w14:textId="5CE7F4AB" w:rsidR="0000288B" w:rsidRPr="00892DB5" w:rsidRDefault="0000288B" w:rsidP="006752D6">
      <w:pPr>
        <w:pStyle w:val="Nadpis3"/>
        <w:rPr>
          <w:lang w:val="cs-CZ"/>
        </w:rPr>
      </w:pPr>
      <w:bookmarkStart w:id="30" w:name="_Toc80347817"/>
      <w:bookmarkStart w:id="31" w:name="_Toc81752181"/>
      <w:r w:rsidRPr="00892DB5">
        <w:rPr>
          <w:lang w:val="cs-CZ"/>
        </w:rPr>
        <w:t>Neochota mladých vstupovat do zemědělství</w:t>
      </w:r>
      <w:bookmarkEnd w:id="30"/>
      <w:bookmarkEnd w:id="31"/>
    </w:p>
    <w:p w14:paraId="7812C4E0" w14:textId="77777777" w:rsidR="0000288B" w:rsidRPr="00892DB5" w:rsidRDefault="0000288B" w:rsidP="00A12F9A">
      <w:pPr>
        <w:pStyle w:val="UZEIOdrky"/>
      </w:pPr>
      <w:r w:rsidRPr="00892DB5">
        <w:t xml:space="preserve">I přes stále relativně vysoký počet absolventů středních a vysokých škol hledají tito absolventi často </w:t>
      </w:r>
      <w:r w:rsidRPr="00892DB5">
        <w:rPr>
          <w:b/>
        </w:rPr>
        <w:t>umístění v jiných odvětvích</w:t>
      </w:r>
      <w:r w:rsidRPr="00892DB5">
        <w:t xml:space="preserve"> národního hospodářství. Tento problém je do určité míry také v posledních letech stupňován dlouhodobějším růstem národní ekonomiky, kdy produktivní pracovníci se alokují do atraktivnějších odvětví s vyššími příjmovými možnostmi.</w:t>
      </w:r>
    </w:p>
    <w:p w14:paraId="0317ABE2" w14:textId="63AEA583" w:rsidR="0000288B" w:rsidRPr="00892DB5" w:rsidRDefault="0000288B" w:rsidP="006752D6">
      <w:pPr>
        <w:pStyle w:val="Nadpis3"/>
        <w:rPr>
          <w:lang w:val="cs-CZ"/>
        </w:rPr>
      </w:pPr>
      <w:bookmarkStart w:id="32" w:name="_Toc80347818"/>
      <w:bookmarkStart w:id="33" w:name="_Toc81752182"/>
      <w:r w:rsidRPr="00892DB5">
        <w:rPr>
          <w:lang w:val="cs-CZ"/>
        </w:rPr>
        <w:t>Neochota předávat hospodářství mladším zemědělcům</w:t>
      </w:r>
      <w:bookmarkEnd w:id="32"/>
      <w:bookmarkEnd w:id="33"/>
    </w:p>
    <w:p w14:paraId="5D711195" w14:textId="7B5C6C9D" w:rsidR="0000288B" w:rsidRPr="00892DB5" w:rsidRDefault="0000288B" w:rsidP="007506B1">
      <w:pPr>
        <w:pStyle w:val="UZEIOdrky"/>
      </w:pPr>
      <w:r w:rsidRPr="00892DB5">
        <w:t xml:space="preserve">K nedostatečné generační obměně v zemědělství přispívá i přetrvávající </w:t>
      </w:r>
      <w:r w:rsidRPr="00892DB5">
        <w:rPr>
          <w:b/>
        </w:rPr>
        <w:t>neochota starší zemědělské</w:t>
      </w:r>
      <w:r w:rsidRPr="00892DB5">
        <w:t xml:space="preserve"> </w:t>
      </w:r>
      <w:r w:rsidRPr="00892DB5">
        <w:rPr>
          <w:b/>
        </w:rPr>
        <w:t>generace předávat</w:t>
      </w:r>
      <w:r w:rsidRPr="00892DB5">
        <w:t xml:space="preserve"> svá hospodářství. Jedním z důvodů může být absence dědice hospodářství. Matthews (2013) vidí možnou příčinu i v tom, že zemědělci důchodového věku pobírají starobní důchod a zároveň mají dodatečný příjem z přímých plateb, a tak nemají důvod hospodaření předat dále.</w:t>
      </w:r>
    </w:p>
    <w:p w14:paraId="55BC58F2" w14:textId="1092B846" w:rsidR="0000288B" w:rsidRPr="00892DB5" w:rsidRDefault="0000288B" w:rsidP="006752D6">
      <w:pPr>
        <w:pStyle w:val="Nadpis2"/>
      </w:pPr>
      <w:bookmarkStart w:id="34" w:name="_Toc81752183"/>
      <w:r w:rsidRPr="00892DB5">
        <w:t>Podrobnější rozbor příčin vzniku problému</w:t>
      </w:r>
      <w:r w:rsidRPr="00892DB5">
        <w:rPr>
          <w:rStyle w:val="Znakapoznpodarou"/>
        </w:rPr>
        <w:footnoteReference w:id="4"/>
      </w:r>
      <w:bookmarkEnd w:id="34"/>
    </w:p>
    <w:p w14:paraId="35AD1142" w14:textId="481DC943" w:rsidR="0000288B" w:rsidRPr="00892DB5" w:rsidRDefault="0000288B" w:rsidP="006752D6">
      <w:pPr>
        <w:pStyle w:val="Nadpis3"/>
        <w:rPr>
          <w:lang w:val="cs-CZ"/>
        </w:rPr>
      </w:pPr>
      <w:bookmarkStart w:id="35" w:name="_Toc80347820"/>
      <w:bookmarkStart w:id="36" w:name="_Toc81752184"/>
      <w:r w:rsidRPr="00892DB5">
        <w:rPr>
          <w:lang w:val="cs-CZ"/>
        </w:rPr>
        <w:t>Mzdová disparita zaměstnanců v zemědělství</w:t>
      </w:r>
      <w:bookmarkEnd w:id="35"/>
      <w:bookmarkEnd w:id="36"/>
    </w:p>
    <w:p w14:paraId="4B7BE68B" w14:textId="2617532A" w:rsidR="0000288B" w:rsidRPr="00892DB5" w:rsidRDefault="0000288B" w:rsidP="007506B1">
      <w:pPr>
        <w:pStyle w:val="UZEINormaln"/>
      </w:pPr>
      <w:r w:rsidRPr="00892DB5">
        <w:t xml:space="preserve">Problémem je neodůvodnitelná disparita mezd v zemědělství, která může ukazovat na nedocenění zemědělské práce. Obecně vývoj příjmové situace v zemědělství zaznamenal zlepšení, protože důchod z faktorů vyjádřený na jednoho přepočteného pracovníka se zvýšil v letech 2015–2017 o více než polovinu oproti průměrnému údaji za období 2007–2009. I když se situace zlepšuje, </w:t>
      </w:r>
      <w:r w:rsidRPr="00892DB5">
        <w:rPr>
          <w:b/>
        </w:rPr>
        <w:t>mzdová disparita</w:t>
      </w:r>
      <w:r w:rsidRPr="00892DB5">
        <w:t xml:space="preserve"> je stále přítomná, a tak sektor zůstává méně atraktivním pro mladé a kvalifikované pracovníky. Varovný je rostoucí trend mzdové disparity. Po roce 2009, kdy mzda v zemědělství, lesnictví a rybářství dosahovala jen 75,6 %, začalo postupné zlepšování až na 82,7 % v roce 2014. Avšak od té doby začal opět pokles a hodnoty se pohybují okolo 80 % (81,5 % – 2015, 81,6 % – 2016, 80,4 % – 2017 a 79,7 % – 2018). V prvních třech čtvrtletí roku 2019 je mzda v zemědělství, lesnictví a rybářství na úrovni pouhých 78,2 % mzdy v národním hospodářství.</w:t>
      </w:r>
      <w:r w:rsidRPr="00892DB5">
        <w:rPr>
          <w:rStyle w:val="Znakapoznpodarou"/>
        </w:rPr>
        <w:footnoteReference w:id="5"/>
      </w:r>
    </w:p>
    <w:p w14:paraId="67DE3983" w14:textId="77777777" w:rsidR="00034B70" w:rsidRPr="00892DB5" w:rsidRDefault="00034B70" w:rsidP="0000288B">
      <w:pPr>
        <w:rPr>
          <w:lang w:val="cs-CZ"/>
        </w:rPr>
      </w:pPr>
    </w:p>
    <w:p w14:paraId="6B484CF8" w14:textId="2632FA55" w:rsidR="0000288B" w:rsidRPr="006752D6" w:rsidRDefault="0000288B" w:rsidP="006752D6">
      <w:pPr>
        <w:pStyle w:val="Nadpis3"/>
      </w:pPr>
      <w:bookmarkStart w:id="38" w:name="_Toc80347821"/>
      <w:bookmarkStart w:id="39" w:name="_Toc81752185"/>
      <w:r w:rsidRPr="006752D6">
        <w:lastRenderedPageBreak/>
        <w:t>Příjmová disparita v zemědělství</w:t>
      </w:r>
      <w:bookmarkEnd w:id="38"/>
      <w:bookmarkEnd w:id="39"/>
    </w:p>
    <w:p w14:paraId="4FBDA434" w14:textId="77777777" w:rsidR="0000288B" w:rsidRPr="00892DB5" w:rsidRDefault="0000288B" w:rsidP="007506B1">
      <w:pPr>
        <w:pStyle w:val="UZEINormaln"/>
      </w:pPr>
      <w:r w:rsidRPr="00892DB5">
        <w:t xml:space="preserve">Zemědělský příjem měřený </w:t>
      </w:r>
      <w:r w:rsidRPr="00892DB5">
        <w:rPr>
          <w:b/>
        </w:rPr>
        <w:t>čistou přidanou hodnotou na pracovní jednotku</w:t>
      </w:r>
      <w:r w:rsidRPr="00892DB5">
        <w:t xml:space="preserve"> (ČPH/AWU) a </w:t>
      </w:r>
      <w:r w:rsidRPr="00892DB5">
        <w:rPr>
          <w:b/>
        </w:rPr>
        <w:t>příjmem farmy na rodinnou pracovní jednotku</w:t>
      </w:r>
      <w:r w:rsidRPr="00892DB5">
        <w:t xml:space="preserve"> (příjem/FWU) je nižší u mladších věkových kategorií manažerů. Ze studie Hilla a Bradleyho (2015) zpracované pro Evropský parlament vyplývá, že v Evropské unii (EU-27) byl příjem vyšší u podniků řízených manažery od 45 do 54 let věku, u starších věkových kategorií pak příjem klesal. Nejnižší přidaná hodnota na přepočteného pracovníka a příjem na rodinnou pracovní jednotku byl v kategorii mladých zemědělců do 35 let. Oba tyto údaje také byly u nejmladších zemědělců pod průměrem zemí EU-27.</w:t>
      </w:r>
    </w:p>
    <w:p w14:paraId="39513E20" w14:textId="77777777" w:rsidR="0000288B" w:rsidRPr="00892DB5" w:rsidRDefault="0000288B" w:rsidP="007506B1">
      <w:pPr>
        <w:pStyle w:val="UZEINormaln"/>
      </w:pPr>
      <w:r w:rsidRPr="00892DB5">
        <w:t xml:space="preserve">V ČR je příjem ze zemědělské činnosti na výrobního činitele (ukazatel důchodu z faktorů) značně proměnlivý. V posledních 10 letech rostl z 313 853 Kč na pracovníka na 486 359 Kč na pracovníka. Příjem ze zemědělského podnikání (podnikatelský příjem) se také pomalu zvyšoval. Trend vývoje byl obdobný jako u důchodu z faktorů. </w:t>
      </w:r>
    </w:p>
    <w:p w14:paraId="7CC9264A" w14:textId="77777777" w:rsidR="0000288B" w:rsidRPr="00892DB5" w:rsidRDefault="0000288B" w:rsidP="007506B1">
      <w:pPr>
        <w:pStyle w:val="UZEINormaln"/>
      </w:pPr>
      <w:r w:rsidRPr="00892DB5">
        <w:t>Zhodnocení příjmové situace mladých začínajících zemědělců je poměrně obtížné. Mladí začínající zemědělci nemají dostatečně dlouhou časovou řadu příjmů a pokud ano, tak nejsou většinou veřejně dostupné, protože zřídka mají právní formu s.r.o. nebo a.s., kde je vykazování účetních dat povinné. Dělat analýzu příjmů pouze zemědělců mladších 40 let může být nepřesné, protože mnozí z nich mohou hospodařit delší dobu, než je 5 let, což se považuje za „zahájení“ činnosti. V šetření FADN je velmi malé množství mladých začínajících zemědělců, a tak by analýza nebyla vypovídající</w:t>
      </w:r>
      <w:r w:rsidRPr="00892DB5">
        <w:rPr>
          <w:rStyle w:val="Znakapoznpodarou"/>
        </w:rPr>
        <w:footnoteReference w:id="6"/>
      </w:r>
      <w:r w:rsidRPr="00892DB5">
        <w:t>. Proto následující aproximujeme mladé začínající zemědělce skupinou malých (dle standardního výstupu – SO) dle FADN.</w:t>
      </w:r>
    </w:p>
    <w:p w14:paraId="4BCEEED3" w14:textId="77777777" w:rsidR="0000288B" w:rsidRPr="00892DB5" w:rsidRDefault="0000288B" w:rsidP="002A4C32">
      <w:pPr>
        <w:pStyle w:val="UZEINormaln"/>
      </w:pPr>
      <w:r w:rsidRPr="00892DB5">
        <w:t>Předpokládá se, že mladý začínající zemědělec vlastní spíše malý podnik, který se zvětšuje až časem. V podmínkách ČR podle Eurostatu (2013)</w:t>
      </w:r>
      <w:r w:rsidRPr="00892DB5">
        <w:rPr>
          <w:rStyle w:val="Znakapoznpodarou"/>
        </w:rPr>
        <w:footnoteReference w:id="7"/>
      </w:r>
      <w:r w:rsidRPr="00892DB5">
        <w:t xml:space="preserve"> vytváří zemědělci mladší 35 let zhruba 4.5 % celkové SO v ČR. Na jednoho zemědělce tak v průměru připadá SO ve výši 166 271 euro, což je nejméně ze všech věkových kategorií. Musíme ale brát do úvahy, že do šetření byly zahrnuty pouze podniky větší než 5 ha, což může vést ke značnému zkreslení. Podniky mladých zemědělců mohou být i menší, na což je možné usuzovat z toho, že ve třech kolech příjmu </w:t>
      </w:r>
      <w:r w:rsidRPr="00892DB5">
        <w:lastRenderedPageBreak/>
        <w:t>žádostí v operaci 6.1.1 Zahájení činnosti mladých zemědělců byla většina žádostí podána mikropodniky. Konkrétně se jednalo o 99,4 % žádostí. FADN klasifikuje skupinu IV+V+VI podle SO od 8 000 do 50 000 euro.</w:t>
      </w:r>
    </w:p>
    <w:p w14:paraId="5CACFDED" w14:textId="77777777" w:rsidR="0000288B" w:rsidRPr="00892DB5" w:rsidRDefault="0000288B" w:rsidP="002A4C32">
      <w:pPr>
        <w:pStyle w:val="UZEINormaln"/>
      </w:pPr>
      <w:r w:rsidRPr="00892DB5">
        <w:t>Graf níže ukazuje vývoj důchodu ze zemědělské činnosti podniků malých FO (skupina IV+V+VI dle SO) v porovnání s ostatními velikostními kategoriemi podniků v letech 2014 až 2018. Pro kategorii největších podniků jsou data k dispozici je za rok 2014. Je vidět, že důchod ze zemědělské činnosti klesal ve všech typech podniků do roku 2016. V té době byla nejnižší úroveň důchodu v malých podnicích FO. Poté došlo ke zlepšení a malá velikostní kategorie předstihla ve výši důchodu i skupinu středních podniků. V roce 2018 byla již situace vyrovnaná (10891 v malých vs. 10989 Kč/ha).</w:t>
      </w:r>
    </w:p>
    <w:p w14:paraId="65106C4D" w14:textId="41222EF7" w:rsidR="00771836" w:rsidRDefault="0000288B" w:rsidP="00CF1B3C">
      <w:pPr>
        <w:pStyle w:val="UZEINormaln"/>
        <w:rPr>
          <w:rStyle w:val="Siln"/>
          <w:b w:val="0"/>
          <w:bCs w:val="0"/>
        </w:rPr>
      </w:pPr>
      <w:r w:rsidRPr="00892DB5">
        <w:t>Ale pokud důchod přepočteme na neplacenou pracovní jednotku, u kategorie malých podniků zůstává důchod ze zemědělské činnosti velmi nízký. Vstup neplacené pracovní síly na 100 ha je totiž v této kategorii velmi vysoký, zvláště u FO (4,54 FWU/100 ha v roce 2014, versus 5,02 FWU/100 ha v roce 2018). U střední ekonomické velikosti se hodnota pohybuje od 1,41 do 1,63 FWU/100 ha, u velké 0,35 až 0,57 FWU/100 ha.</w:t>
      </w:r>
    </w:p>
    <w:p w14:paraId="12B8F6D1" w14:textId="61F3E7CC" w:rsidR="00150A53" w:rsidRPr="00771836" w:rsidRDefault="00771836" w:rsidP="00CF1B3C">
      <w:pPr>
        <w:pStyle w:val="UZEIGraf"/>
        <w:rPr>
          <w:rStyle w:val="Siln"/>
          <w:b/>
          <w:bCs w:val="0"/>
        </w:rPr>
      </w:pPr>
      <w:r w:rsidRPr="00771836">
        <w:rPr>
          <w:rStyle w:val="Siln"/>
          <w:b/>
          <w:bCs w:val="0"/>
        </w:rPr>
        <w:t>Důchod ze zemědělské činnosti u různě velikých skupin podniků FO dle SO (v Kč/ha – vlevo a v Kč/FWU – vpravo)</w:t>
      </w:r>
    </w:p>
    <w:p w14:paraId="6122DDE7" w14:textId="77777777" w:rsidR="0000288B" w:rsidRPr="00892DB5" w:rsidRDefault="0000288B" w:rsidP="0000288B">
      <w:pPr>
        <w:rPr>
          <w:lang w:val="cs-CZ"/>
        </w:rPr>
      </w:pPr>
      <w:r w:rsidRPr="00892DB5">
        <w:rPr>
          <w:noProof/>
          <w:lang w:val="cs-CZ" w:eastAsia="cs-CZ"/>
        </w:rPr>
        <w:drawing>
          <wp:inline distT="0" distB="0" distL="0" distR="0" wp14:anchorId="55371D25" wp14:editId="3E65FB65">
            <wp:extent cx="2844000" cy="2412000"/>
            <wp:effectExtent l="0" t="0" r="0" b="7620"/>
            <wp:docPr id="16" name="Graf 16">
              <a:extLst xmlns:a="http://schemas.openxmlformats.org/drawingml/2006/main">
                <a:ext uri="{FF2B5EF4-FFF2-40B4-BE49-F238E27FC236}">
                  <a16:creationId xmlns:a16="http://schemas.microsoft.com/office/drawing/2014/main" id="{C1BB20EF-26FE-47FD-86FD-E6C9F566F5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92DB5">
        <w:rPr>
          <w:noProof/>
          <w:lang w:val="cs-CZ"/>
        </w:rPr>
        <w:t xml:space="preserve"> </w:t>
      </w:r>
      <w:r w:rsidRPr="00892DB5">
        <w:rPr>
          <w:noProof/>
          <w:lang w:val="cs-CZ" w:eastAsia="cs-CZ"/>
        </w:rPr>
        <w:drawing>
          <wp:inline distT="0" distB="0" distL="0" distR="0" wp14:anchorId="696A1B32" wp14:editId="7EB5D9C8">
            <wp:extent cx="2843530" cy="2411730"/>
            <wp:effectExtent l="0" t="0" r="0" b="7620"/>
            <wp:docPr id="36" name="Graf 36">
              <a:extLst xmlns:a="http://schemas.openxmlformats.org/drawingml/2006/main">
                <a:ext uri="{FF2B5EF4-FFF2-40B4-BE49-F238E27FC236}">
                  <a16:creationId xmlns:a16="http://schemas.microsoft.com/office/drawing/2014/main" id="{FF5E4EEC-A94B-45E4-B915-FB4EC78B3E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1A7E374" w14:textId="77777777" w:rsidR="0000288B" w:rsidRPr="00C77415" w:rsidRDefault="0000288B" w:rsidP="00C77415">
      <w:pPr>
        <w:pStyle w:val="Zdroj"/>
      </w:pPr>
      <w:r w:rsidRPr="00C77415">
        <w:t xml:space="preserve">Zdroj: FADN (2020) </w:t>
      </w:r>
    </w:p>
    <w:p w14:paraId="70CD8845" w14:textId="77777777" w:rsidR="0000288B" w:rsidRPr="00892DB5" w:rsidRDefault="0000288B" w:rsidP="00C77415">
      <w:pPr>
        <w:pStyle w:val="UZEINormaln"/>
      </w:pPr>
      <w:r w:rsidRPr="00892DB5">
        <w:t>Pokud bychom dále rozčlenili kategorii malých (skupina 1-6 dle SO, za roky 2016 až 2018) dle výrobního zaměření, je z grafu níže vidět, že nejvyšší důchod byl v roce 2015 u produkce mléka, ale pak se prudce snížil a v roce 2017 dosahoval už pouze 263 tis. Kč/ha (data za rok 2018 nejsou k dispozici). Také u chovu skotu se snížil důchod ze zemědělské činnosti z 443 tis. Kč/ha v roce 2015 na 317 tis. Kč/ha v roce 2017 a362 tis. Kč v roce 2018. U vinohradnictví byl důchod v roce 2015 ve výši 589 tis. Kč/ha a vzrostl až na 1 145 tis. Kč/ha v roce 2017, aby v roce 2018 došlo k prudkému poklesu na 526 tis. Kč/ha. Chov prasat a drůbeže je značně proměnlivý, zatím co v roce 2015 byl téměř na nejnižší úrovni (159 tis. Kč/ha), v roce 2017 byl již na úrovni 335 tis. Kč/ha a v roce 2018 poklesl na 139 tis. Kč. Polní výroba mírně rostla, smíšená nejprve poklesla a nyní zase vzrostla. Ovocnářství mírně pokleslo.</w:t>
      </w:r>
    </w:p>
    <w:p w14:paraId="17F1A293" w14:textId="77777777" w:rsidR="0000288B" w:rsidRDefault="0000288B" w:rsidP="00C77415">
      <w:pPr>
        <w:pStyle w:val="UZEINormaln"/>
      </w:pPr>
      <w:r w:rsidRPr="00892DB5">
        <w:t>Důchod ze zemědělské činnosti u malých FO jako celku nejprve mírně poklesl z 295 tis. Kč/ha v roce 2015 na 276 tis. Kč/ha v roce 2016, pak ale vzrostl na 314 tis Kč/ha v roce 2017 a 295 tis. Kč v roce 2018.</w:t>
      </w:r>
    </w:p>
    <w:p w14:paraId="06BC5873" w14:textId="77777777" w:rsidR="00C77415" w:rsidRDefault="00C77415" w:rsidP="00C77415">
      <w:pPr>
        <w:pStyle w:val="UZEINormaln"/>
      </w:pPr>
    </w:p>
    <w:p w14:paraId="7DBC0695" w14:textId="77777777" w:rsidR="009342D7" w:rsidRPr="00892DB5" w:rsidRDefault="009342D7" w:rsidP="00C77415">
      <w:pPr>
        <w:pStyle w:val="UZEINormaln"/>
      </w:pPr>
    </w:p>
    <w:p w14:paraId="2BF69D46" w14:textId="7C6D99A7" w:rsidR="0000288B" w:rsidRPr="00CF1B3C" w:rsidRDefault="0000288B" w:rsidP="00CF1B3C">
      <w:pPr>
        <w:pStyle w:val="UZEIGraf"/>
        <w:rPr>
          <w:rStyle w:val="Siln"/>
          <w:b/>
          <w:bCs w:val="0"/>
        </w:rPr>
      </w:pPr>
      <w:bookmarkStart w:id="40" w:name="_Toc35425685"/>
      <w:bookmarkStart w:id="41" w:name="_Toc81752398"/>
      <w:r w:rsidRPr="00CF1B3C">
        <w:rPr>
          <w:rStyle w:val="Siln"/>
          <w:b/>
          <w:bCs w:val="0"/>
        </w:rPr>
        <w:lastRenderedPageBreak/>
        <w:t>Důchod ze zemědělské činnosti u skupiny malých dle SO a dle výrobního zaměření (v Kč/ha)</w:t>
      </w:r>
      <w:bookmarkEnd w:id="40"/>
      <w:bookmarkEnd w:id="41"/>
    </w:p>
    <w:p w14:paraId="2EFC3EED" w14:textId="77777777" w:rsidR="0000288B" w:rsidRPr="00892DB5" w:rsidRDefault="0000288B" w:rsidP="0000288B">
      <w:pPr>
        <w:rPr>
          <w:lang w:val="cs-CZ"/>
        </w:rPr>
      </w:pPr>
      <w:r w:rsidRPr="00892DB5">
        <w:rPr>
          <w:noProof/>
          <w:lang w:val="cs-CZ" w:eastAsia="cs-CZ"/>
        </w:rPr>
        <w:drawing>
          <wp:inline distT="0" distB="0" distL="0" distR="0" wp14:anchorId="36D5F67E" wp14:editId="495E090E">
            <wp:extent cx="5760720" cy="2250440"/>
            <wp:effectExtent l="0" t="0" r="11430" b="16510"/>
            <wp:docPr id="1" name="Graf 1">
              <a:extLst xmlns:a="http://schemas.openxmlformats.org/drawingml/2006/main">
                <a:ext uri="{FF2B5EF4-FFF2-40B4-BE49-F238E27FC236}">
                  <a16:creationId xmlns:a16="http://schemas.microsoft.com/office/drawing/2014/main" id="{DCD52A00-504A-4915-B0E4-37752F0E5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892DB5">
        <w:rPr>
          <w:noProof/>
          <w:lang w:val="cs-CZ"/>
        </w:rPr>
        <w:t xml:space="preserve"> </w:t>
      </w:r>
    </w:p>
    <w:p w14:paraId="1E06E24A" w14:textId="77777777" w:rsidR="0000288B" w:rsidRPr="00892DB5" w:rsidRDefault="0000288B" w:rsidP="0000288B">
      <w:pPr>
        <w:pStyle w:val="Zdroj"/>
      </w:pPr>
      <w:r w:rsidRPr="00892DB5">
        <w:t>Zdroj: FADN (2019), vyžádaná data</w:t>
      </w:r>
    </w:p>
    <w:p w14:paraId="67B176D6" w14:textId="05AD84EF" w:rsidR="006752D6" w:rsidRPr="00892DB5" w:rsidRDefault="0000288B" w:rsidP="00C77415">
      <w:pPr>
        <w:pStyle w:val="UZEINormaln"/>
      </w:pPr>
      <w:r w:rsidRPr="00892DB5">
        <w:t>Co se týče vývoje v přepočtu na neplacenou pracovní jednotku, nejnižší hodnota byla v roce 2016 v chovu prasat a drůbeže (79,6 tis. Kč), ale pak se výrazně zvýšila, aby znovu poklesla v roce 2018 na téměř výchozí úroveň roku 2015. Částečně to bylo dáno i poklesem vstupu neplacené pracovní síly FWU/podnik. Naopak v chovu skotu a produkci mléka docházelo ke snížení ve všech letech, aby aspoň v roce 2018 došlo k navýšení. Také ovocnářství mírně pokleslo a v roce 2018 vzrostlo. Naopak polní výroba mírně rostla a byla jediným typem výroby, který nezaznamenal meziroční propad v důchodu ze zemědělské činnosti mezi lety 2015 a 2016. Obecně u malých FO klesl mezi lety 2015 a 2016 důchod ze zemědělské činnosti na neplacenou pracovní sílu z 223 tis. Kč na 213 tis. Kč. Poté došlo k nárůstu na 241 tis. Kč/FWU v roce 2017 a mírnému poklesu na 232 tis. Kč v roce 2018.</w:t>
      </w:r>
    </w:p>
    <w:p w14:paraId="45889AB7" w14:textId="4B90F1B4" w:rsidR="0000288B" w:rsidRPr="006752D6" w:rsidRDefault="0000288B" w:rsidP="00C77415">
      <w:pPr>
        <w:pStyle w:val="UZEIGraf"/>
        <w:rPr>
          <w:bCs/>
        </w:rPr>
      </w:pPr>
      <w:bookmarkStart w:id="42" w:name="_Toc35425686"/>
      <w:bookmarkStart w:id="43" w:name="_Toc81752399"/>
      <w:r w:rsidRPr="006752D6">
        <w:rPr>
          <w:rStyle w:val="Siln"/>
          <w:b/>
          <w:bCs w:val="0"/>
        </w:rPr>
        <w:t>Důchod ze zemědělské činnosti u skupiny malých dle SO a dle výrobního zaměření (v Kč/FWU)</w:t>
      </w:r>
      <w:bookmarkEnd w:id="42"/>
      <w:bookmarkEnd w:id="43"/>
    </w:p>
    <w:p w14:paraId="24A44AD4" w14:textId="77777777" w:rsidR="0000288B" w:rsidRPr="00892DB5" w:rsidRDefault="0000288B" w:rsidP="0000288B">
      <w:pPr>
        <w:rPr>
          <w:lang w:val="cs-CZ"/>
        </w:rPr>
      </w:pPr>
      <w:r w:rsidRPr="00892DB5">
        <w:rPr>
          <w:noProof/>
          <w:lang w:val="cs-CZ" w:eastAsia="cs-CZ"/>
        </w:rPr>
        <w:drawing>
          <wp:inline distT="0" distB="0" distL="0" distR="0" wp14:anchorId="378E2A4A" wp14:editId="63F9284E">
            <wp:extent cx="5760720" cy="2619375"/>
            <wp:effectExtent l="0" t="0" r="11430" b="9525"/>
            <wp:docPr id="23" name="Graf 23">
              <a:extLst xmlns:a="http://schemas.openxmlformats.org/drawingml/2006/main">
                <a:ext uri="{FF2B5EF4-FFF2-40B4-BE49-F238E27FC236}">
                  <a16:creationId xmlns:a16="http://schemas.microsoft.com/office/drawing/2014/main" id="{B345A1C8-5CE5-4034-A8F6-1C6AC5F7BF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D777A40" w14:textId="1E9E0B2E" w:rsidR="0000288B" w:rsidRPr="00892DB5" w:rsidRDefault="0000288B" w:rsidP="00C77415">
      <w:pPr>
        <w:pStyle w:val="UZEIZdroj"/>
      </w:pPr>
      <w:r w:rsidRPr="00892DB5">
        <w:t>Zdroj: FADN (2019), vyžádaná data</w:t>
      </w:r>
    </w:p>
    <w:p w14:paraId="4B99C749" w14:textId="69A00A82" w:rsidR="0000288B" w:rsidRPr="00C77415" w:rsidRDefault="0000288B" w:rsidP="00C77415">
      <w:pPr>
        <w:pStyle w:val="Nadpis3"/>
      </w:pPr>
      <w:bookmarkStart w:id="44" w:name="_Toc80347822"/>
      <w:bookmarkStart w:id="45" w:name="_Toc81752186"/>
      <w:r w:rsidRPr="00C77415">
        <w:t>Přístup k půdě</w:t>
      </w:r>
      <w:bookmarkEnd w:id="44"/>
      <w:bookmarkEnd w:id="45"/>
    </w:p>
    <w:p w14:paraId="657F13C8" w14:textId="77777777" w:rsidR="0000288B" w:rsidRPr="00892DB5" w:rsidRDefault="0000288B" w:rsidP="00C77415">
      <w:pPr>
        <w:pStyle w:val="UZEINormaln"/>
        <w:rPr>
          <w:vertAlign w:val="superscript"/>
        </w:rPr>
      </w:pPr>
      <w:r w:rsidRPr="00892DB5">
        <w:t xml:space="preserve">Počet podniků, kde je vedoucím mladý zemědělec, se snížil a následoval tak trend vývoje v celém zemědělství. V roce 2016 klesl počet podniků na 26 530, z čehož byly mladým zemědělcem do 35 let vedená pouhá 4,4 procenta podniků (1180 v absolutních číslech). </w:t>
      </w:r>
      <w:r w:rsidRPr="00892DB5">
        <w:lastRenderedPageBreak/>
        <w:t>Největší podíl zaujímaly podniky zemědělců od 45 do 64 let.</w:t>
      </w:r>
      <w:r w:rsidRPr="00892DB5">
        <w:rPr>
          <w:rStyle w:val="Znakapoznpodarou"/>
        </w:rPr>
        <w:footnoteReference w:id="8"/>
      </w:r>
      <w:r w:rsidRPr="00892DB5">
        <w:t xml:space="preserve"> Počet podniků se sice snížil, ale výrazně se zvýšilo procento velkých podniků, tj. zvýšila se průměrná výměra jednoho podniku řízeného mladým zemědělcem – zatímco v roce 2010 byla 90,3 ha, v roce 2016 byla 120,9 ha.</w:t>
      </w:r>
      <w:r w:rsidRPr="00892DB5">
        <w:rPr>
          <w:rStyle w:val="Znakapoznpodarou"/>
        </w:rPr>
        <w:footnoteReference w:id="9"/>
      </w:r>
    </w:p>
    <w:p w14:paraId="5726DECF" w14:textId="77777777" w:rsidR="0000288B" w:rsidRPr="00892DB5" w:rsidRDefault="0000288B" w:rsidP="00C77415">
      <w:pPr>
        <w:pStyle w:val="UZEINormaln"/>
      </w:pPr>
      <w:r w:rsidRPr="00892DB5">
        <w:t>Z porovnání vývoje celkové výměry obhospodařované půdy je ale patrné, že mladí zemědělci mají pravděpodobně horší přístup k půdě, protože právě v kategorii do 35 let se množství UAA snižuje, zatímco ve všech ostatních roste. Zatímco tedy v zemědělství dochází ke koncentraci do velikostně větších podniků dokonce i při klesající disponibilnosti zemědělské půdy, neplatí toto u zemědělců do 35 let. V kategorii od 35 do 45 let došlo k mírnému nárůstu UAA, výrazný byl pokles UAA v kategorii 45 až 64 let pravděpodobně proto, že zemědělci zestárli a výrazně tak narostla UAA v kategorii nad 65 let.</w:t>
      </w:r>
      <w:r w:rsidRPr="00892DB5">
        <w:rPr>
          <w:rStyle w:val="Znakapoznpodarou"/>
        </w:rPr>
        <w:footnoteReference w:id="10"/>
      </w:r>
    </w:p>
    <w:p w14:paraId="093E8E68" w14:textId="77777777" w:rsidR="0000288B" w:rsidRPr="00892DB5" w:rsidRDefault="0000288B" w:rsidP="00C77415">
      <w:pPr>
        <w:pStyle w:val="UZEINormaln"/>
      </w:pPr>
      <w:r w:rsidRPr="00892DB5">
        <w:t xml:space="preserve">Co se týče přístupu k půdě, z dotazníkového šetření ÚZEI vyplynulo, že z 510 dotazovaných mladých zemědělců, byl nákup pozemků významnou bariérou pro 396 z nich, tj. pro 77,7 % (odpovědi spíše ano a rozhodně ano). Pro 6,7 % toto problematické nebylo a 15,7 % mladých zemědělskou půdu ke koupi ani neshánělo. Nájem zemědělských pozemků sice nepotřebovalo 10,4 % dotazovaných, ale na druhé straně pro 69,4 % to byl rozhodně nebo spíše problém půdu k nájmu sehnat. Ve slovních odpovědích zemědělci uváděli, že tento problém se jich netýkal pouze v době zahájení činnosti, ale také v případech, kdy chtěli svou stávající činnost rozšířit. </w:t>
      </w:r>
    </w:p>
    <w:p w14:paraId="3FE9F224" w14:textId="77777777" w:rsidR="0000288B" w:rsidRPr="00892DB5" w:rsidRDefault="0000288B" w:rsidP="00C77415">
      <w:pPr>
        <w:pStyle w:val="UZEINormaln"/>
      </w:pPr>
      <w:r w:rsidRPr="00892DB5">
        <w:t>Co se týče trhu s půdou, podle ČSÚ</w:t>
      </w:r>
      <w:r w:rsidRPr="00892DB5">
        <w:rPr>
          <w:rStyle w:val="Znakapoznpodarou"/>
        </w:rPr>
        <w:footnoteReference w:id="11"/>
      </w:r>
      <w:r w:rsidRPr="00892DB5">
        <w:t xml:space="preserve"> vývoj cen zemědělské půdy zaznamenal zvýšení z průměrných 4,7 Kč/m</w:t>
      </w:r>
      <w:r w:rsidRPr="00892DB5">
        <w:rPr>
          <w:vertAlign w:val="superscript"/>
        </w:rPr>
        <w:t>2</w:t>
      </w:r>
      <w:r w:rsidRPr="00892DB5">
        <w:t xml:space="preserve"> v roce 2006 (ÚZEI, Zpráva o stavu Českého zemědělství za rok 2012, 2013) na 15,9 Kč/m</w:t>
      </w:r>
      <w:r w:rsidRPr="00892DB5">
        <w:rPr>
          <w:vertAlign w:val="superscript"/>
        </w:rPr>
        <w:t>2</w:t>
      </w:r>
      <w:r w:rsidRPr="00892DB5">
        <w:t xml:space="preserve"> v roce 2017 (ÚZEI, Zpráva o stavu českého zemědělství za rok 2018), což je v průběhu 10 let trojnásobný nárůst, který může dále ztěžovat přístup mladých zemědělců k půdě.</w:t>
      </w:r>
    </w:p>
    <w:p w14:paraId="0CFB1810" w14:textId="77777777" w:rsidR="0000288B" w:rsidRPr="00892DB5" w:rsidRDefault="0000288B" w:rsidP="00C77415">
      <w:pPr>
        <w:pStyle w:val="UZEINormaln"/>
      </w:pPr>
      <w:r w:rsidRPr="00892DB5">
        <w:t>Obdobně je pro mladé zemědělce obtížný přístup k půdě i z toho důvodu, že ji často mají v nájmu velké podniky, respektive právnické osoby, které jsou ochotny platit vyšší pachtovné. Podle kvalifikovaného odhadu ÚZEI (Zpráva o stavu českého zemědělství za rok 2018) průměrné pachtovné za zemědělskou půdu podle šetření FADN v roce 2018 v ČR činilo u fyzických osob 2200 Kč/ha a u právnických osob 3400 Kč/ha. Lze očekávat pokračování zvyšování úrovně pachtovného ve všech výrobních oblastech, přičemž vyšší tempo růstu bude pravděpodobně u právnických osob.</w:t>
      </w:r>
    </w:p>
    <w:p w14:paraId="17D6CE25" w14:textId="77777777" w:rsidR="0000288B" w:rsidRPr="00892DB5" w:rsidRDefault="0000288B" w:rsidP="00C77415">
      <w:pPr>
        <w:pStyle w:val="UZEINormaln"/>
        <w:rPr>
          <w:sz w:val="28"/>
        </w:rPr>
      </w:pPr>
      <w:r w:rsidRPr="00892DB5">
        <w:rPr>
          <w:szCs w:val="23"/>
        </w:rPr>
        <w:t xml:space="preserve">Obecně je podíl propachtované zemědělské půdy na celkové obhospodařované ploše v českém zemědělství jedním z nejvyšších ze zemí EU, třebaže v posledních letech vlivem nákupů půdy zemědělskými podniky poměrně významně klesá. </w:t>
      </w:r>
      <w:r w:rsidRPr="00892DB5">
        <w:t>Lze odhadovat, že v roce 2018 podíl propachtované půdy představoval necelých 72 %</w:t>
      </w:r>
      <w:r w:rsidRPr="00892DB5">
        <w:rPr>
          <w:szCs w:val="23"/>
        </w:rPr>
        <w:t>. (Zpráva o stavu českého zemědělství za rok 2018) Tím dochází k upevnění vztahu k půdě a zvýšení prodejů zemědělské půdy může být pro mladé zemědělce příležitostí k nákupu půdy. Ke změnám ve vlastnictví a přístupnosti půdy přispívá také opatření Pozemkové úpravy.</w:t>
      </w:r>
    </w:p>
    <w:p w14:paraId="26AF1AFD" w14:textId="6EE6073C" w:rsidR="0000288B" w:rsidRPr="00892DB5" w:rsidRDefault="0000288B" w:rsidP="006752D6">
      <w:pPr>
        <w:pStyle w:val="Nadpis3"/>
        <w:rPr>
          <w:lang w:val="cs-CZ"/>
        </w:rPr>
      </w:pPr>
      <w:bookmarkStart w:id="47" w:name="_Toc80347823"/>
      <w:bookmarkStart w:id="48" w:name="_Toc81752187"/>
      <w:r w:rsidRPr="00892DB5">
        <w:rPr>
          <w:lang w:val="cs-CZ"/>
        </w:rPr>
        <w:lastRenderedPageBreak/>
        <w:t>Přístup k financím a kapitálu</w:t>
      </w:r>
      <w:bookmarkEnd w:id="47"/>
      <w:bookmarkEnd w:id="48"/>
    </w:p>
    <w:p w14:paraId="26AB2292" w14:textId="77777777" w:rsidR="0000288B" w:rsidRPr="00892DB5" w:rsidRDefault="0000288B" w:rsidP="00C77415">
      <w:pPr>
        <w:pStyle w:val="UZEINormaln"/>
      </w:pPr>
      <w:r w:rsidRPr="00892DB5">
        <w:t>Obecně je pro mladé začínající zemědělce složitější získat úvěr, protože nemohou doložit dostatečnou úvěrovou historii. Zajištění financí pro vlastní zahájení podnikání bylo problémem pro 78,6 % z 510 mladých zemědělců, které dotazovalo ÚZEI (ÚZEI, 2018). Pouze 4,1 % (21 respondentů) uvedlo, že se jich zajišťování financí netýkalo, a pro 13 respondentů (2,5 %) finance nebyly problém (pro 14,7 % spíše nebyly problém). Horší situace pak pro mladé zemědělce byla se zajištěním financí pro další rozvoj podnikání. Celkem 83,7 % respondentů uvedlo, že pro ně rozhodně nebo spíše ano bylo problematické zajištění financí pro rozvoj podnikání. Spíše nebylo nebo určitě nebylo toto problémem pro 12,4 % respondentů a 3,9 % se toto netýkalo.</w:t>
      </w:r>
    </w:p>
    <w:p w14:paraId="0E59F988" w14:textId="77777777" w:rsidR="0000288B" w:rsidRPr="00892DB5" w:rsidRDefault="0000288B" w:rsidP="00C77415">
      <w:pPr>
        <w:pStyle w:val="UZEINormaln"/>
      </w:pPr>
      <w:r w:rsidRPr="00892DB5">
        <w:t>Nejsou bohužel dostupné statistiky, které by zkoumaly přímo množství a sazby úvěrů pro mladé zemědělce. Platí ale, že menší a střední podniky (do této kategorie většinou spadají také podniky mladých začínajících zemědělců) platí vyšší úrokové sazby</w:t>
      </w:r>
      <w:r w:rsidRPr="00892DB5">
        <w:rPr>
          <w:rStyle w:val="Znakapoznpodarou"/>
        </w:rPr>
        <w:footnoteReference w:id="12"/>
      </w:r>
      <w:r w:rsidRPr="00892DB5">
        <w:t>. Největší rozdíl byl v roce 2013, kdy skupina malých podniků platila v průměru úrokovou sazbu ve výši přes 8 %, zatímco velmi velké podniky (měřeno výší standardní produkce) měly sazbu jen necelých 4,5 %. Přes pokles úrokových sazeb v kategorii malých podniků i v roce 2016 stále platilo, že malí zemědělci platí nejvyšší sazby (téměř 6 %), zatímco velmi velké jen 3,5 % a velké necelých 4,5 %. U středně velkých podniků se od roku 2014 pohybuje úroková sazba okolo 5,5 %. Pro menší podniky je tedy investování z cizích zdrojů dražší než pro velké, což může být problém i pro mladé začínající zemědělce, jejichž hospodářství je dosud malé.</w:t>
      </w:r>
    </w:p>
    <w:p w14:paraId="2CC69C9E" w14:textId="77777777" w:rsidR="0000288B" w:rsidRPr="00892DB5" w:rsidRDefault="0000288B" w:rsidP="00C77415">
      <w:pPr>
        <w:pStyle w:val="UZEINormaln"/>
      </w:pPr>
      <w:r w:rsidRPr="00892DB5">
        <w:t>O horším přístupu k financím a úvěrům svědčí i fakt, že objem úvěrů v Kč/ha je mnohem nižší u ekonomicky malých a menších podniků</w:t>
      </w:r>
      <w:r w:rsidRPr="00892DB5">
        <w:rPr>
          <w:rStyle w:val="Znakapoznpodarou"/>
        </w:rPr>
        <w:footnoteReference w:id="13"/>
      </w:r>
      <w:r w:rsidRPr="00892DB5">
        <w:t>. Je sice možné, že tyto nežádají o úvěry v tak vysoké výši nebo tak často jako velké a velmi velké podniky, ale i tak je zřetelné, že velmi velké podniky získaly v roce 2016 více než dvojnásobný objem úvěrů oproti malým.</w:t>
      </w:r>
    </w:p>
    <w:p w14:paraId="5A731471" w14:textId="77777777" w:rsidR="0000288B" w:rsidRDefault="0000288B" w:rsidP="00C77415">
      <w:pPr>
        <w:pStyle w:val="UZEINormaln"/>
      </w:pPr>
      <w:r w:rsidRPr="00892DB5">
        <w:t>Představu o průměrné úrokové míře, kterou platí mladí zemědělci, mohou poskytnout data PGRLF z programu garance úroků z úvěrů Zemědělec – viz graf. Je patrné, že mladí zemědělci platili ve všech letech vyšší úrokové sazby komerčních úvěrů než ostatní zemědělci. Ačkoli bankovní úvěry byly v průměru mladým zemědělcům poskytovány s vyšší sazbou o cca 0,59 % p. a., díky zvýhodnění sazby podpory PGRLF pro mladé zemědělce (v průměru o 0,69 % p. a.) se výsledné průměrné sazby po započtení úrokové podpory PGRLF pro mladé zemědělce dostaly těsně pod výsledné sazby žadatelů bez zvýhodnění na průměrnou úroveň 1,91 % p. a. Průměrná výše poskytnutého úvěrů na jednoho mladého zemědělce byla v průměru 1,3 mil. Kč, zatímco u ostatních zemědělců 1,9 mil. Kč.</w:t>
      </w:r>
    </w:p>
    <w:p w14:paraId="3C2C3409" w14:textId="77777777" w:rsidR="00C77415" w:rsidRDefault="00C77415" w:rsidP="00C77415">
      <w:pPr>
        <w:pStyle w:val="UZEINormaln"/>
      </w:pPr>
    </w:p>
    <w:p w14:paraId="35FEABB4" w14:textId="77777777" w:rsidR="00C77415" w:rsidRDefault="00C77415" w:rsidP="00C77415">
      <w:pPr>
        <w:pStyle w:val="UZEINormaln"/>
      </w:pPr>
    </w:p>
    <w:p w14:paraId="26030506" w14:textId="77777777" w:rsidR="00C77415" w:rsidRDefault="00C77415" w:rsidP="00C77415">
      <w:pPr>
        <w:pStyle w:val="UZEINormaln"/>
      </w:pPr>
    </w:p>
    <w:p w14:paraId="2464D4F0" w14:textId="77777777" w:rsidR="00C77415" w:rsidRDefault="00C77415" w:rsidP="00C77415">
      <w:pPr>
        <w:pStyle w:val="UZEINormaln"/>
      </w:pPr>
    </w:p>
    <w:p w14:paraId="0ED047A7" w14:textId="77777777" w:rsidR="00C77415" w:rsidRDefault="00C77415" w:rsidP="00C77415">
      <w:pPr>
        <w:pStyle w:val="UZEINormaln"/>
      </w:pPr>
    </w:p>
    <w:p w14:paraId="73DD900D" w14:textId="77777777" w:rsidR="00C77415" w:rsidRDefault="00C77415" w:rsidP="00C77415">
      <w:pPr>
        <w:pStyle w:val="UZEINormaln"/>
      </w:pPr>
    </w:p>
    <w:p w14:paraId="742180BC" w14:textId="77777777" w:rsidR="00C77415" w:rsidRPr="00892DB5" w:rsidRDefault="00C77415" w:rsidP="00C77415">
      <w:pPr>
        <w:pStyle w:val="UZEINormaln"/>
      </w:pPr>
    </w:p>
    <w:p w14:paraId="0BE411FD" w14:textId="6AEC300B" w:rsidR="0000288B" w:rsidRPr="006752D6" w:rsidRDefault="0000288B" w:rsidP="00C77415">
      <w:pPr>
        <w:pStyle w:val="UZEIGraf"/>
        <w:rPr>
          <w:rStyle w:val="Siln"/>
          <w:b/>
          <w:bCs w:val="0"/>
        </w:rPr>
      </w:pPr>
      <w:bookmarkStart w:id="49" w:name="_Toc35425687"/>
      <w:bookmarkStart w:id="50" w:name="_Toc81752400"/>
      <w:r w:rsidRPr="006752D6">
        <w:rPr>
          <w:rStyle w:val="Siln"/>
          <w:b/>
          <w:bCs w:val="0"/>
        </w:rPr>
        <w:lastRenderedPageBreak/>
        <w:t>Program Zemědělec PGRLF – Tržní úrokové a dotované sazby mladých a ostatních zemědělců k 31. 12. 2017 (v %)</w:t>
      </w:r>
      <w:bookmarkEnd w:id="49"/>
      <w:bookmarkEnd w:id="50"/>
    </w:p>
    <w:p w14:paraId="4792CFB5" w14:textId="77777777" w:rsidR="0000288B" w:rsidRPr="00892DB5" w:rsidRDefault="0000288B" w:rsidP="0000288B">
      <w:pPr>
        <w:rPr>
          <w:lang w:val="cs-CZ"/>
        </w:rPr>
      </w:pPr>
      <w:r w:rsidRPr="00892DB5">
        <w:rPr>
          <w:noProof/>
          <w:lang w:val="cs-CZ" w:eastAsia="cs-CZ"/>
        </w:rPr>
        <w:drawing>
          <wp:inline distT="0" distB="0" distL="0" distR="0" wp14:anchorId="688C26DA" wp14:editId="63BB7653">
            <wp:extent cx="5762625" cy="3200400"/>
            <wp:effectExtent l="0" t="0" r="0" b="0"/>
            <wp:docPr id="8" name="Graf 8">
              <a:extLst xmlns:a="http://schemas.openxmlformats.org/drawingml/2006/main">
                <a:ext uri="{FF2B5EF4-FFF2-40B4-BE49-F238E27FC236}">
                  <a16:creationId xmlns:a16="http://schemas.microsoft.com/office/drawing/2014/main" id="{FF0235EB-D441-4933-ACAB-C031AB5644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6372074" w14:textId="77777777" w:rsidR="0000288B" w:rsidRPr="00892DB5" w:rsidRDefault="0000288B" w:rsidP="0000288B">
      <w:pPr>
        <w:pStyle w:val="Zdroj"/>
      </w:pPr>
      <w:r w:rsidRPr="00892DB5">
        <w:t>Zdroj: PGRLF (2018), vyžádaná data z ekonomického úseku</w:t>
      </w:r>
    </w:p>
    <w:p w14:paraId="249662BA" w14:textId="4A4DA284" w:rsidR="006752D6" w:rsidRPr="00892DB5" w:rsidRDefault="0000288B" w:rsidP="0000288B">
      <w:pPr>
        <w:rPr>
          <w:lang w:val="cs-CZ"/>
        </w:rPr>
      </w:pPr>
      <w:r w:rsidRPr="00892DB5">
        <w:rPr>
          <w:lang w:val="cs-CZ"/>
        </w:rPr>
        <w:t>Také v programu Půda bylo v letech 2009–2011 navýšení pro mladé zemědělce, o 2 %.</w:t>
      </w:r>
    </w:p>
    <w:p w14:paraId="47EBC5EE" w14:textId="020CFD43" w:rsidR="0000288B" w:rsidRPr="00892DB5" w:rsidRDefault="0000288B" w:rsidP="006752D6">
      <w:pPr>
        <w:pStyle w:val="Nadpis3"/>
        <w:rPr>
          <w:lang w:val="cs-CZ"/>
        </w:rPr>
      </w:pPr>
      <w:bookmarkStart w:id="51" w:name="_Toc80347824"/>
      <w:bookmarkStart w:id="52" w:name="_Toc81752188"/>
      <w:r w:rsidRPr="00892DB5">
        <w:rPr>
          <w:lang w:val="cs-CZ"/>
        </w:rPr>
        <w:t>Přístup ke znalostem a poradenství</w:t>
      </w:r>
      <w:bookmarkEnd w:id="51"/>
      <w:bookmarkEnd w:id="52"/>
    </w:p>
    <w:p w14:paraId="3B1519CC" w14:textId="77777777" w:rsidR="0000288B" w:rsidRPr="00892DB5" w:rsidRDefault="0000288B" w:rsidP="0071129E">
      <w:pPr>
        <w:pStyle w:val="UZEINormaln"/>
      </w:pPr>
      <w:r w:rsidRPr="00892DB5">
        <w:t>Ve výzkumu ÚZEI (2018) získání znalostí a dovedností uvedlo jako rozhodně důležité pro zahájení zemědělské činnosti 19,8 % respondentů a 25,9 % pak toto považovalo za spíše důležité. Na druhou stranu největší procento dotazovaných 35,3 % (180 z 510 respondentů) považovalo získávání znalostí a dovedností za spíše nedůležité a 14,5 % dokonce za rozhodně nedůležité. 4,5 % respondentů tuto záležitost neumělo posoudit, protože se jich netýkala.</w:t>
      </w:r>
    </w:p>
    <w:p w14:paraId="338B74E3" w14:textId="77777777" w:rsidR="0000288B" w:rsidRPr="00892DB5" w:rsidRDefault="0000288B" w:rsidP="0071129E">
      <w:pPr>
        <w:pStyle w:val="UZEINormaln"/>
      </w:pPr>
      <w:r w:rsidRPr="00892DB5">
        <w:t>V zemědělství hrají stále významnější úlohu poradenské, informační a vzdělávací služby (AKIS). A tak kvalita služeb může do značné míry eliminovat požadavky na specifické vzdělání v zemědělských podnicích. Tento systém také může absorbovat část mladých lidí, kteří vystudovali zemědělství, a mohli by takto najít své uplatnění v oboru.</w:t>
      </w:r>
    </w:p>
    <w:p w14:paraId="080FF0C6" w14:textId="77777777" w:rsidR="0000288B" w:rsidRPr="00892DB5" w:rsidRDefault="0000288B" w:rsidP="0071129E">
      <w:pPr>
        <w:pStyle w:val="UZEINormaln"/>
      </w:pPr>
      <w:r w:rsidRPr="00892DB5">
        <w:t xml:space="preserve">V rámci Ročního vzdělávacího plánu Ministerstva zemědělství pro odborné vzdělávání veřejnosti v rezortu bylo v roce 2018 realizováno </w:t>
      </w:r>
      <w:r w:rsidRPr="00892DB5">
        <w:rPr>
          <w:rFonts w:cs="Arial"/>
        </w:rPr>
        <w:t>35 druhů vzdělávacích aktivit na 713 akcích</w:t>
      </w:r>
      <w:r w:rsidRPr="00892DB5">
        <w:t xml:space="preserve"> pro veřejnost. Jednalo se o krátkodobé semináře, školení a konference zaměřené na výklad právních norem ČR a EU, realizaci úkolů z usnesení vlády, informace o schválených programech a postupech, požadavky spojené s problematikou zemědělství a venkova, vzdělávací aktivity pro pracovníky veřejnosprávních úřadů, státních dozorových orgánů i odbornou zemědělskou veřejnost, realizaci rezortních programů orientovaných na děti a mládež. Akcí se v roce 2018 zúčastnilo </w:t>
      </w:r>
      <w:r w:rsidRPr="00892DB5">
        <w:rPr>
          <w:rFonts w:cs="Arial"/>
        </w:rPr>
        <w:t xml:space="preserve">45 882 osob, z toho 35 405 dětí, mládeže a studentů. </w:t>
      </w:r>
      <w:r w:rsidRPr="00892DB5">
        <w:t>Konkrétní obsah školení a jeho dopady se nesledují a statisticky nevyhodnocují.</w:t>
      </w:r>
    </w:p>
    <w:p w14:paraId="66949A45" w14:textId="77777777" w:rsidR="0000288B" w:rsidRPr="00892DB5" w:rsidRDefault="0000288B" w:rsidP="0071129E">
      <w:pPr>
        <w:pStyle w:val="UZEINormaln"/>
      </w:pPr>
      <w:r w:rsidRPr="00892DB5">
        <w:t xml:space="preserve"> V rámci poradenského systému Ministerstva zemědělství jsou podpořeny dva programy – Regionální přenos informací (9.F.e.) a Odborné konzultace (9.F.i.). Cílem prvního je přenos všeobecných informací na území ČR mikro, malým a středním podnikům působících v odvětví zemědělské prvovýroby a zpracování zemědělských výrobků a jejich uvádění na trh formou vstupních konzultací, webových stránek, písemných materiálů, seminářů, workshopů a horké linky. V roce 2019 byla dotace přiznána 5 subjektům. Druhý program se uskutečňuje na </w:t>
      </w:r>
      <w:r w:rsidRPr="00892DB5">
        <w:lastRenderedPageBreak/>
        <w:t>rezortně orientovaných výzkumných ústavech a univerzitách. Dotace byla v roce 2019 přiznána 14 subjektům. V níže uvedených tabulkách jsou vyčísleny vyplacené prostředky, počty příjemců dotací a konečných uživatelů národních dotací.</w:t>
      </w:r>
    </w:p>
    <w:p w14:paraId="6DEF27B3" w14:textId="20B72547" w:rsidR="0000288B" w:rsidRPr="0087790C" w:rsidRDefault="0000288B" w:rsidP="0087790C">
      <w:pPr>
        <w:pStyle w:val="UZEITaB"/>
      </w:pPr>
      <w:bookmarkStart w:id="53" w:name="_Toc14865971"/>
      <w:bookmarkStart w:id="54" w:name="_Toc35425688"/>
      <w:bookmarkStart w:id="55" w:name="_Toc81751996"/>
      <w:r w:rsidRPr="0087790C">
        <w:t>Vyplacené prostředky z národních dotacích na poradenství MZe (v mil. Kč)</w:t>
      </w:r>
      <w:bookmarkEnd w:id="53"/>
      <w:bookmarkEnd w:id="54"/>
      <w:bookmarkEnd w:id="55"/>
    </w:p>
    <w:tbl>
      <w:tblPr>
        <w:tblStyle w:val="Tmavtabulkasmkou5zvraznn3"/>
        <w:tblW w:w="0" w:type="auto"/>
        <w:tblLook w:val="04A0" w:firstRow="1" w:lastRow="0" w:firstColumn="1" w:lastColumn="0" w:noHBand="0" w:noVBand="1"/>
      </w:tblPr>
      <w:tblGrid>
        <w:gridCol w:w="1728"/>
        <w:gridCol w:w="1361"/>
        <w:gridCol w:w="1454"/>
        <w:gridCol w:w="1533"/>
        <w:gridCol w:w="1533"/>
        <w:gridCol w:w="1407"/>
      </w:tblGrid>
      <w:tr w:rsidR="0000288B" w:rsidRPr="00944337" w14:paraId="1B0B6355" w14:textId="77777777" w:rsidTr="00864C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4" w:type="dxa"/>
            <w:vAlign w:val="center"/>
          </w:tcPr>
          <w:p w14:paraId="0AD2E7AE" w14:textId="77777777" w:rsidR="0000288B" w:rsidRPr="00944337" w:rsidRDefault="0000288B" w:rsidP="0086054E">
            <w:pPr>
              <w:jc w:val="left"/>
              <w:rPr>
                <w:bCs w:val="0"/>
                <w:color w:val="auto"/>
                <w:sz w:val="20"/>
                <w:szCs w:val="20"/>
              </w:rPr>
            </w:pPr>
            <w:r w:rsidRPr="00944337">
              <w:rPr>
                <w:bCs w:val="0"/>
                <w:color w:val="auto"/>
                <w:sz w:val="20"/>
                <w:szCs w:val="20"/>
              </w:rPr>
              <w:t>Program</w:t>
            </w:r>
          </w:p>
        </w:tc>
        <w:tc>
          <w:tcPr>
            <w:tcW w:w="1368" w:type="dxa"/>
            <w:vAlign w:val="center"/>
          </w:tcPr>
          <w:p w14:paraId="580EB62E" w14:textId="77777777" w:rsidR="0000288B" w:rsidRPr="00944337" w:rsidRDefault="0000288B" w:rsidP="0086054E">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944337">
              <w:rPr>
                <w:bCs w:val="0"/>
                <w:color w:val="auto"/>
                <w:sz w:val="20"/>
                <w:szCs w:val="20"/>
              </w:rPr>
              <w:t>2014</w:t>
            </w:r>
          </w:p>
        </w:tc>
        <w:tc>
          <w:tcPr>
            <w:tcW w:w="1462" w:type="dxa"/>
            <w:vAlign w:val="center"/>
          </w:tcPr>
          <w:p w14:paraId="476FF6DA" w14:textId="77777777" w:rsidR="0000288B" w:rsidRPr="00944337" w:rsidRDefault="0000288B" w:rsidP="0086054E">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944337">
              <w:rPr>
                <w:bCs w:val="0"/>
                <w:color w:val="auto"/>
                <w:sz w:val="20"/>
                <w:szCs w:val="20"/>
              </w:rPr>
              <w:t>2015</w:t>
            </w:r>
          </w:p>
        </w:tc>
        <w:tc>
          <w:tcPr>
            <w:tcW w:w="1542" w:type="dxa"/>
            <w:vAlign w:val="center"/>
          </w:tcPr>
          <w:p w14:paraId="2D5DD181" w14:textId="77777777" w:rsidR="0000288B" w:rsidRPr="00944337" w:rsidRDefault="0000288B" w:rsidP="0086054E">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944337">
              <w:rPr>
                <w:bCs w:val="0"/>
                <w:color w:val="auto"/>
                <w:sz w:val="20"/>
                <w:szCs w:val="20"/>
              </w:rPr>
              <w:t>2016</w:t>
            </w:r>
          </w:p>
        </w:tc>
        <w:tc>
          <w:tcPr>
            <w:tcW w:w="1542" w:type="dxa"/>
            <w:vAlign w:val="center"/>
          </w:tcPr>
          <w:p w14:paraId="033B0035" w14:textId="77777777" w:rsidR="0000288B" w:rsidRPr="00944337" w:rsidRDefault="0000288B" w:rsidP="0086054E">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944337">
              <w:rPr>
                <w:bCs w:val="0"/>
                <w:color w:val="auto"/>
                <w:sz w:val="20"/>
                <w:szCs w:val="20"/>
              </w:rPr>
              <w:t>2017</w:t>
            </w:r>
          </w:p>
        </w:tc>
        <w:tc>
          <w:tcPr>
            <w:tcW w:w="1414" w:type="dxa"/>
            <w:vAlign w:val="center"/>
          </w:tcPr>
          <w:p w14:paraId="0983A987" w14:textId="77777777" w:rsidR="0000288B" w:rsidRPr="00944337" w:rsidRDefault="0000288B" w:rsidP="0086054E">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944337">
              <w:rPr>
                <w:bCs w:val="0"/>
                <w:color w:val="auto"/>
                <w:sz w:val="20"/>
                <w:szCs w:val="20"/>
              </w:rPr>
              <w:t>2018</w:t>
            </w:r>
          </w:p>
        </w:tc>
      </w:tr>
      <w:tr w:rsidR="0000288B" w:rsidRPr="00944337" w14:paraId="334260F5" w14:textId="77777777" w:rsidTr="00864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4" w:type="dxa"/>
            <w:vAlign w:val="center"/>
          </w:tcPr>
          <w:p w14:paraId="1EEE82B2" w14:textId="77777777" w:rsidR="0000288B" w:rsidRPr="00944337" w:rsidRDefault="0000288B" w:rsidP="0086054E">
            <w:pPr>
              <w:jc w:val="left"/>
              <w:rPr>
                <w:bCs w:val="0"/>
                <w:color w:val="auto"/>
                <w:sz w:val="20"/>
                <w:szCs w:val="20"/>
              </w:rPr>
            </w:pPr>
            <w:r w:rsidRPr="00944337">
              <w:rPr>
                <w:bCs w:val="0"/>
                <w:color w:val="auto"/>
                <w:sz w:val="20"/>
                <w:szCs w:val="20"/>
              </w:rPr>
              <w:t>9.F.e.</w:t>
            </w:r>
          </w:p>
        </w:tc>
        <w:tc>
          <w:tcPr>
            <w:tcW w:w="1368" w:type="dxa"/>
            <w:vAlign w:val="center"/>
          </w:tcPr>
          <w:p w14:paraId="3F18B48D"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6,5</w:t>
            </w:r>
          </w:p>
        </w:tc>
        <w:tc>
          <w:tcPr>
            <w:tcW w:w="1462" w:type="dxa"/>
            <w:vAlign w:val="center"/>
          </w:tcPr>
          <w:p w14:paraId="31D36B2A"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6,5</w:t>
            </w:r>
          </w:p>
        </w:tc>
        <w:tc>
          <w:tcPr>
            <w:tcW w:w="1542" w:type="dxa"/>
            <w:vAlign w:val="center"/>
          </w:tcPr>
          <w:p w14:paraId="16C2F5A3"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6,5</w:t>
            </w:r>
          </w:p>
        </w:tc>
        <w:tc>
          <w:tcPr>
            <w:tcW w:w="1542" w:type="dxa"/>
            <w:vAlign w:val="center"/>
          </w:tcPr>
          <w:p w14:paraId="50563DB7"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15,0</w:t>
            </w:r>
          </w:p>
        </w:tc>
        <w:tc>
          <w:tcPr>
            <w:tcW w:w="1414" w:type="dxa"/>
            <w:vAlign w:val="center"/>
          </w:tcPr>
          <w:p w14:paraId="178A649C"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944337">
              <w:rPr>
                <w:bCs/>
                <w:sz w:val="20"/>
                <w:szCs w:val="20"/>
              </w:rPr>
              <w:t>12,6</w:t>
            </w:r>
          </w:p>
        </w:tc>
      </w:tr>
      <w:tr w:rsidR="0000288B" w:rsidRPr="00944337" w14:paraId="0FA599E9" w14:textId="77777777" w:rsidTr="00864C5E">
        <w:tc>
          <w:tcPr>
            <w:cnfStyle w:val="001000000000" w:firstRow="0" w:lastRow="0" w:firstColumn="1" w:lastColumn="0" w:oddVBand="0" w:evenVBand="0" w:oddHBand="0" w:evenHBand="0" w:firstRowFirstColumn="0" w:firstRowLastColumn="0" w:lastRowFirstColumn="0" w:lastRowLastColumn="0"/>
            <w:tcW w:w="1734" w:type="dxa"/>
            <w:vAlign w:val="center"/>
          </w:tcPr>
          <w:p w14:paraId="148E57E5" w14:textId="77777777" w:rsidR="0000288B" w:rsidRPr="00944337" w:rsidRDefault="0000288B" w:rsidP="0086054E">
            <w:pPr>
              <w:jc w:val="left"/>
              <w:rPr>
                <w:bCs w:val="0"/>
                <w:color w:val="auto"/>
                <w:sz w:val="20"/>
                <w:szCs w:val="20"/>
              </w:rPr>
            </w:pPr>
            <w:r w:rsidRPr="00944337">
              <w:rPr>
                <w:bCs w:val="0"/>
                <w:color w:val="auto"/>
                <w:sz w:val="20"/>
                <w:szCs w:val="20"/>
              </w:rPr>
              <w:t>9.F.i.</w:t>
            </w:r>
          </w:p>
        </w:tc>
        <w:tc>
          <w:tcPr>
            <w:tcW w:w="1368" w:type="dxa"/>
            <w:vAlign w:val="center"/>
          </w:tcPr>
          <w:p w14:paraId="33CEAB35" w14:textId="77777777" w:rsidR="0000288B" w:rsidRPr="00944337" w:rsidRDefault="0000288B" w:rsidP="00864C5E">
            <w:pPr>
              <w:jc w:val="center"/>
              <w:cnfStyle w:val="000000000000" w:firstRow="0" w:lastRow="0" w:firstColumn="0" w:lastColumn="0" w:oddVBand="0" w:evenVBand="0" w:oddHBand="0" w:evenHBand="0" w:firstRowFirstColumn="0" w:firstRowLastColumn="0" w:lastRowFirstColumn="0" w:lastRowLastColumn="0"/>
              <w:rPr>
                <w:sz w:val="20"/>
                <w:szCs w:val="20"/>
              </w:rPr>
            </w:pPr>
            <w:r w:rsidRPr="00944337">
              <w:rPr>
                <w:sz w:val="20"/>
                <w:szCs w:val="20"/>
              </w:rPr>
              <w:t>4,1</w:t>
            </w:r>
          </w:p>
        </w:tc>
        <w:tc>
          <w:tcPr>
            <w:tcW w:w="1462" w:type="dxa"/>
            <w:vAlign w:val="center"/>
          </w:tcPr>
          <w:p w14:paraId="1A8AE0E1" w14:textId="77777777" w:rsidR="0000288B" w:rsidRPr="00944337" w:rsidRDefault="0000288B" w:rsidP="00864C5E">
            <w:pPr>
              <w:jc w:val="center"/>
              <w:cnfStyle w:val="000000000000" w:firstRow="0" w:lastRow="0" w:firstColumn="0" w:lastColumn="0" w:oddVBand="0" w:evenVBand="0" w:oddHBand="0" w:evenHBand="0" w:firstRowFirstColumn="0" w:firstRowLastColumn="0" w:lastRowFirstColumn="0" w:lastRowLastColumn="0"/>
              <w:rPr>
                <w:sz w:val="20"/>
                <w:szCs w:val="20"/>
              </w:rPr>
            </w:pPr>
            <w:r w:rsidRPr="00944337">
              <w:rPr>
                <w:sz w:val="20"/>
                <w:szCs w:val="20"/>
              </w:rPr>
              <w:t>5,2</w:t>
            </w:r>
          </w:p>
        </w:tc>
        <w:tc>
          <w:tcPr>
            <w:tcW w:w="1542" w:type="dxa"/>
            <w:vAlign w:val="center"/>
          </w:tcPr>
          <w:p w14:paraId="5CE1DC4C" w14:textId="77777777" w:rsidR="0000288B" w:rsidRPr="00944337" w:rsidRDefault="0000288B" w:rsidP="00864C5E">
            <w:pPr>
              <w:jc w:val="center"/>
              <w:cnfStyle w:val="000000000000" w:firstRow="0" w:lastRow="0" w:firstColumn="0" w:lastColumn="0" w:oddVBand="0" w:evenVBand="0" w:oddHBand="0" w:evenHBand="0" w:firstRowFirstColumn="0" w:firstRowLastColumn="0" w:lastRowFirstColumn="0" w:lastRowLastColumn="0"/>
              <w:rPr>
                <w:sz w:val="20"/>
                <w:szCs w:val="20"/>
              </w:rPr>
            </w:pPr>
            <w:r w:rsidRPr="00944337">
              <w:rPr>
                <w:sz w:val="20"/>
                <w:szCs w:val="20"/>
              </w:rPr>
              <w:t>6,2</w:t>
            </w:r>
          </w:p>
        </w:tc>
        <w:tc>
          <w:tcPr>
            <w:tcW w:w="1542" w:type="dxa"/>
            <w:vAlign w:val="center"/>
          </w:tcPr>
          <w:p w14:paraId="5FCD312A" w14:textId="77777777" w:rsidR="0000288B" w:rsidRPr="00944337" w:rsidRDefault="0000288B" w:rsidP="00864C5E">
            <w:pPr>
              <w:jc w:val="center"/>
              <w:cnfStyle w:val="000000000000" w:firstRow="0" w:lastRow="0" w:firstColumn="0" w:lastColumn="0" w:oddVBand="0" w:evenVBand="0" w:oddHBand="0" w:evenHBand="0" w:firstRowFirstColumn="0" w:firstRowLastColumn="0" w:lastRowFirstColumn="0" w:lastRowLastColumn="0"/>
              <w:rPr>
                <w:sz w:val="20"/>
                <w:szCs w:val="20"/>
              </w:rPr>
            </w:pPr>
            <w:r w:rsidRPr="00944337">
              <w:rPr>
                <w:sz w:val="20"/>
                <w:szCs w:val="20"/>
              </w:rPr>
              <w:t>6,2</w:t>
            </w:r>
          </w:p>
        </w:tc>
        <w:tc>
          <w:tcPr>
            <w:tcW w:w="1414" w:type="dxa"/>
            <w:vAlign w:val="center"/>
          </w:tcPr>
          <w:p w14:paraId="5DE40521" w14:textId="77777777" w:rsidR="0000288B" w:rsidRPr="00944337" w:rsidRDefault="0000288B" w:rsidP="00864C5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944337">
              <w:rPr>
                <w:bCs/>
                <w:sz w:val="20"/>
                <w:szCs w:val="20"/>
              </w:rPr>
              <w:t>6,5</w:t>
            </w:r>
          </w:p>
        </w:tc>
      </w:tr>
      <w:tr w:rsidR="0000288B" w:rsidRPr="00944337" w14:paraId="2C881ECC" w14:textId="77777777" w:rsidTr="00864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4" w:type="dxa"/>
            <w:vAlign w:val="center"/>
          </w:tcPr>
          <w:p w14:paraId="5F0E27BB" w14:textId="77777777" w:rsidR="0000288B" w:rsidRPr="00944337" w:rsidRDefault="0000288B" w:rsidP="0086054E">
            <w:pPr>
              <w:jc w:val="left"/>
              <w:rPr>
                <w:bCs w:val="0"/>
                <w:color w:val="auto"/>
                <w:sz w:val="20"/>
                <w:szCs w:val="20"/>
              </w:rPr>
            </w:pPr>
            <w:r w:rsidRPr="00944337">
              <w:rPr>
                <w:bCs w:val="0"/>
                <w:color w:val="auto"/>
                <w:sz w:val="20"/>
                <w:szCs w:val="20"/>
              </w:rPr>
              <w:t>Celkem</w:t>
            </w:r>
          </w:p>
        </w:tc>
        <w:tc>
          <w:tcPr>
            <w:tcW w:w="1368" w:type="dxa"/>
            <w:vAlign w:val="center"/>
          </w:tcPr>
          <w:p w14:paraId="3D171197"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10,6</w:t>
            </w:r>
          </w:p>
        </w:tc>
        <w:tc>
          <w:tcPr>
            <w:tcW w:w="1462" w:type="dxa"/>
            <w:vAlign w:val="center"/>
          </w:tcPr>
          <w:p w14:paraId="390AB3D5"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11,7</w:t>
            </w:r>
          </w:p>
        </w:tc>
        <w:tc>
          <w:tcPr>
            <w:tcW w:w="1542" w:type="dxa"/>
            <w:vAlign w:val="center"/>
          </w:tcPr>
          <w:p w14:paraId="6AA1D462"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12,7</w:t>
            </w:r>
          </w:p>
        </w:tc>
        <w:tc>
          <w:tcPr>
            <w:tcW w:w="1542" w:type="dxa"/>
            <w:vAlign w:val="center"/>
          </w:tcPr>
          <w:p w14:paraId="5D5DA3EB"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sz w:val="20"/>
                <w:szCs w:val="20"/>
              </w:rPr>
            </w:pPr>
            <w:r w:rsidRPr="00944337">
              <w:rPr>
                <w:sz w:val="20"/>
                <w:szCs w:val="20"/>
              </w:rPr>
              <w:t>21,2</w:t>
            </w:r>
          </w:p>
        </w:tc>
        <w:tc>
          <w:tcPr>
            <w:tcW w:w="1414" w:type="dxa"/>
            <w:vAlign w:val="center"/>
          </w:tcPr>
          <w:p w14:paraId="6C6652EC" w14:textId="77777777" w:rsidR="0000288B" w:rsidRPr="00944337" w:rsidRDefault="0000288B" w:rsidP="00864C5E">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944337">
              <w:rPr>
                <w:bCs/>
                <w:sz w:val="20"/>
                <w:szCs w:val="20"/>
              </w:rPr>
              <w:t>19,1</w:t>
            </w:r>
          </w:p>
        </w:tc>
      </w:tr>
    </w:tbl>
    <w:p w14:paraId="7D1243B5" w14:textId="77777777" w:rsidR="0000288B" w:rsidRPr="00892DB5" w:rsidRDefault="0000288B" w:rsidP="0000288B">
      <w:pPr>
        <w:pStyle w:val="Zdroj"/>
      </w:pPr>
      <w:r w:rsidRPr="00892DB5">
        <w:t>Zdroj: Zpráva o stavu českého zemědělství za rok 2014–2018</w:t>
      </w:r>
    </w:p>
    <w:p w14:paraId="40BC8185" w14:textId="09764923" w:rsidR="0000288B" w:rsidRPr="00892DB5" w:rsidRDefault="0000288B" w:rsidP="0087790C">
      <w:pPr>
        <w:pStyle w:val="UZEITaB"/>
        <w:rPr>
          <w:szCs w:val="24"/>
        </w:rPr>
      </w:pPr>
      <w:bookmarkStart w:id="56" w:name="_Toc35425689"/>
      <w:bookmarkStart w:id="57" w:name="_Toc81751997"/>
      <w:r w:rsidRPr="00892DB5">
        <w:t>Počty příjemců dotací a konečných uživatelů národních dotací na poradenství</w:t>
      </w:r>
      <w:bookmarkEnd w:id="56"/>
      <w:bookmarkEnd w:id="57"/>
      <w:r w:rsidRPr="00892DB5">
        <w:t xml:space="preserve"> </w:t>
      </w:r>
    </w:p>
    <w:tbl>
      <w:tblPr>
        <w:tblStyle w:val="Tmavtabulkasmkou5zvraznn3"/>
        <w:tblW w:w="0" w:type="auto"/>
        <w:tblLook w:val="04A0" w:firstRow="1" w:lastRow="0" w:firstColumn="1" w:lastColumn="0" w:noHBand="0" w:noVBand="1"/>
      </w:tblPr>
      <w:tblGrid>
        <w:gridCol w:w="796"/>
        <w:gridCol w:w="763"/>
        <w:gridCol w:w="881"/>
        <w:gridCol w:w="763"/>
        <w:gridCol w:w="881"/>
        <w:gridCol w:w="763"/>
        <w:gridCol w:w="881"/>
        <w:gridCol w:w="763"/>
        <w:gridCol w:w="881"/>
        <w:gridCol w:w="763"/>
        <w:gridCol w:w="881"/>
      </w:tblGrid>
      <w:tr w:rsidR="0000288B" w:rsidRPr="00892DB5" w14:paraId="613DC8A9" w14:textId="77777777" w:rsidTr="008605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hideMark/>
          </w:tcPr>
          <w:p w14:paraId="1AC1B472" w14:textId="77777777" w:rsidR="0000288B" w:rsidRPr="008E1893" w:rsidRDefault="0000288B" w:rsidP="0086054E">
            <w:pPr>
              <w:rPr>
                <w:color w:val="auto"/>
                <w:sz w:val="20"/>
                <w:szCs w:val="20"/>
              </w:rPr>
            </w:pPr>
            <w:r w:rsidRPr="008E1893">
              <w:rPr>
                <w:color w:val="auto"/>
                <w:sz w:val="20"/>
                <w:szCs w:val="20"/>
              </w:rPr>
              <w:t>Program</w:t>
            </w:r>
          </w:p>
        </w:tc>
        <w:tc>
          <w:tcPr>
            <w:tcW w:w="1690" w:type="dxa"/>
            <w:gridSpan w:val="2"/>
            <w:hideMark/>
          </w:tcPr>
          <w:p w14:paraId="143426D3" w14:textId="77777777" w:rsidR="0000288B" w:rsidRPr="00892DB5" w:rsidRDefault="0000288B" w:rsidP="0086054E">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92DB5">
              <w:rPr>
                <w:color w:val="auto"/>
                <w:sz w:val="20"/>
                <w:szCs w:val="20"/>
              </w:rPr>
              <w:t>2014</w:t>
            </w:r>
          </w:p>
        </w:tc>
        <w:tc>
          <w:tcPr>
            <w:tcW w:w="1690" w:type="dxa"/>
            <w:gridSpan w:val="2"/>
            <w:hideMark/>
          </w:tcPr>
          <w:p w14:paraId="2FC222FA" w14:textId="77777777" w:rsidR="0000288B" w:rsidRPr="00892DB5" w:rsidRDefault="0000288B" w:rsidP="0086054E">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92DB5">
              <w:rPr>
                <w:color w:val="auto"/>
                <w:sz w:val="20"/>
                <w:szCs w:val="20"/>
              </w:rPr>
              <w:t>2015</w:t>
            </w:r>
          </w:p>
        </w:tc>
        <w:tc>
          <w:tcPr>
            <w:tcW w:w="1648" w:type="dxa"/>
            <w:gridSpan w:val="2"/>
            <w:hideMark/>
          </w:tcPr>
          <w:p w14:paraId="45C49EBF" w14:textId="77777777" w:rsidR="0000288B" w:rsidRPr="00892DB5" w:rsidRDefault="0000288B" w:rsidP="0086054E">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92DB5">
              <w:rPr>
                <w:color w:val="auto"/>
                <w:sz w:val="20"/>
                <w:szCs w:val="20"/>
              </w:rPr>
              <w:t>2016</w:t>
            </w:r>
          </w:p>
        </w:tc>
        <w:tc>
          <w:tcPr>
            <w:tcW w:w="1648" w:type="dxa"/>
            <w:gridSpan w:val="2"/>
            <w:hideMark/>
          </w:tcPr>
          <w:p w14:paraId="230ADBA2" w14:textId="77777777" w:rsidR="0000288B" w:rsidRPr="00892DB5" w:rsidRDefault="0000288B" w:rsidP="0086054E">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92DB5">
              <w:rPr>
                <w:color w:val="auto"/>
                <w:sz w:val="20"/>
                <w:szCs w:val="20"/>
              </w:rPr>
              <w:t>2017</w:t>
            </w:r>
          </w:p>
        </w:tc>
        <w:tc>
          <w:tcPr>
            <w:tcW w:w="1648" w:type="dxa"/>
            <w:gridSpan w:val="2"/>
            <w:hideMark/>
          </w:tcPr>
          <w:p w14:paraId="72988BF2" w14:textId="77777777" w:rsidR="0000288B" w:rsidRPr="00892DB5" w:rsidRDefault="0000288B" w:rsidP="0086054E">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92DB5">
              <w:rPr>
                <w:color w:val="auto"/>
                <w:sz w:val="20"/>
                <w:szCs w:val="20"/>
              </w:rPr>
              <w:t>2018</w:t>
            </w:r>
          </w:p>
        </w:tc>
      </w:tr>
      <w:tr w:rsidR="0000288B" w:rsidRPr="00892DB5" w14:paraId="1568E5ED" w14:textId="77777777" w:rsidTr="00860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hideMark/>
          </w:tcPr>
          <w:p w14:paraId="1A47DE14" w14:textId="77777777" w:rsidR="0000288B" w:rsidRPr="008E1893" w:rsidRDefault="0000288B" w:rsidP="0086054E">
            <w:pPr>
              <w:rPr>
                <w:color w:val="auto"/>
                <w:sz w:val="20"/>
                <w:szCs w:val="20"/>
              </w:rPr>
            </w:pPr>
            <w:r w:rsidRPr="008E1893">
              <w:rPr>
                <w:color w:val="auto"/>
                <w:sz w:val="20"/>
                <w:szCs w:val="20"/>
              </w:rPr>
              <w:t>Počet</w:t>
            </w:r>
          </w:p>
        </w:tc>
        <w:tc>
          <w:tcPr>
            <w:tcW w:w="765" w:type="dxa"/>
            <w:hideMark/>
          </w:tcPr>
          <w:p w14:paraId="521F6135"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Příjemců dotace</w:t>
            </w:r>
          </w:p>
        </w:tc>
        <w:tc>
          <w:tcPr>
            <w:tcW w:w="925" w:type="dxa"/>
            <w:hideMark/>
          </w:tcPr>
          <w:p w14:paraId="18E11416"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Konzultací</w:t>
            </w:r>
          </w:p>
        </w:tc>
        <w:tc>
          <w:tcPr>
            <w:tcW w:w="765" w:type="dxa"/>
            <w:hideMark/>
          </w:tcPr>
          <w:p w14:paraId="0DCC3DB4"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Příjemců dotace</w:t>
            </w:r>
          </w:p>
        </w:tc>
        <w:tc>
          <w:tcPr>
            <w:tcW w:w="925" w:type="dxa"/>
            <w:hideMark/>
          </w:tcPr>
          <w:p w14:paraId="6F67CE39"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Konzultací</w:t>
            </w:r>
          </w:p>
        </w:tc>
        <w:tc>
          <w:tcPr>
            <w:tcW w:w="765" w:type="dxa"/>
            <w:hideMark/>
          </w:tcPr>
          <w:p w14:paraId="7C5F4482"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Příjemců dotace</w:t>
            </w:r>
          </w:p>
        </w:tc>
        <w:tc>
          <w:tcPr>
            <w:tcW w:w="883" w:type="dxa"/>
            <w:hideMark/>
          </w:tcPr>
          <w:p w14:paraId="6DD42D54"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Konzultací</w:t>
            </w:r>
          </w:p>
        </w:tc>
        <w:tc>
          <w:tcPr>
            <w:tcW w:w="765" w:type="dxa"/>
            <w:hideMark/>
          </w:tcPr>
          <w:p w14:paraId="7FDBE453"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Příjemců dotace</w:t>
            </w:r>
          </w:p>
        </w:tc>
        <w:tc>
          <w:tcPr>
            <w:tcW w:w="883" w:type="dxa"/>
            <w:hideMark/>
          </w:tcPr>
          <w:p w14:paraId="31D34B40"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Konzultací</w:t>
            </w:r>
          </w:p>
        </w:tc>
        <w:tc>
          <w:tcPr>
            <w:tcW w:w="765" w:type="dxa"/>
            <w:hideMark/>
          </w:tcPr>
          <w:p w14:paraId="11FA9CE9"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Příjemců dotace</w:t>
            </w:r>
          </w:p>
        </w:tc>
        <w:tc>
          <w:tcPr>
            <w:tcW w:w="883" w:type="dxa"/>
            <w:hideMark/>
          </w:tcPr>
          <w:p w14:paraId="56625522" w14:textId="77777777" w:rsidR="0000288B" w:rsidRPr="00892DB5" w:rsidRDefault="0000288B"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Konzultací</w:t>
            </w:r>
          </w:p>
        </w:tc>
      </w:tr>
      <w:tr w:rsidR="0000288B" w:rsidRPr="00892DB5" w14:paraId="39CCCB1E" w14:textId="77777777" w:rsidTr="0086054E">
        <w:tc>
          <w:tcPr>
            <w:cnfStyle w:val="001000000000" w:firstRow="0" w:lastRow="0" w:firstColumn="1" w:lastColumn="0" w:oddVBand="0" w:evenVBand="0" w:oddHBand="0" w:evenHBand="0" w:firstRowFirstColumn="0" w:firstRowLastColumn="0" w:lastRowFirstColumn="0" w:lastRowLastColumn="0"/>
            <w:tcW w:w="738" w:type="dxa"/>
            <w:hideMark/>
          </w:tcPr>
          <w:p w14:paraId="74497023" w14:textId="77777777" w:rsidR="0000288B" w:rsidRPr="008E1893" w:rsidRDefault="0000288B" w:rsidP="0086054E">
            <w:pPr>
              <w:rPr>
                <w:color w:val="auto"/>
                <w:sz w:val="20"/>
                <w:szCs w:val="20"/>
              </w:rPr>
            </w:pPr>
            <w:r w:rsidRPr="008E1893">
              <w:rPr>
                <w:color w:val="auto"/>
                <w:sz w:val="20"/>
                <w:szCs w:val="20"/>
              </w:rPr>
              <w:t>9.F.e.</w:t>
            </w:r>
          </w:p>
        </w:tc>
        <w:tc>
          <w:tcPr>
            <w:tcW w:w="765" w:type="dxa"/>
            <w:hideMark/>
          </w:tcPr>
          <w:p w14:paraId="405FF403"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13 </w:t>
            </w:r>
          </w:p>
        </w:tc>
        <w:tc>
          <w:tcPr>
            <w:tcW w:w="925" w:type="dxa"/>
            <w:hideMark/>
          </w:tcPr>
          <w:p w14:paraId="3C20F653"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 </w:t>
            </w:r>
          </w:p>
        </w:tc>
        <w:tc>
          <w:tcPr>
            <w:tcW w:w="765" w:type="dxa"/>
            <w:hideMark/>
          </w:tcPr>
          <w:p w14:paraId="5796A2D2"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13 </w:t>
            </w:r>
          </w:p>
        </w:tc>
        <w:tc>
          <w:tcPr>
            <w:tcW w:w="925" w:type="dxa"/>
            <w:hideMark/>
          </w:tcPr>
          <w:p w14:paraId="48F135DE"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 </w:t>
            </w:r>
          </w:p>
        </w:tc>
        <w:tc>
          <w:tcPr>
            <w:tcW w:w="765" w:type="dxa"/>
            <w:hideMark/>
          </w:tcPr>
          <w:p w14:paraId="68AC6ED8"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13 </w:t>
            </w:r>
          </w:p>
        </w:tc>
        <w:tc>
          <w:tcPr>
            <w:tcW w:w="883" w:type="dxa"/>
            <w:hideMark/>
          </w:tcPr>
          <w:p w14:paraId="3A255592"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  </w:t>
            </w:r>
          </w:p>
        </w:tc>
        <w:tc>
          <w:tcPr>
            <w:tcW w:w="765" w:type="dxa"/>
            <w:hideMark/>
          </w:tcPr>
          <w:p w14:paraId="45509A9B"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5 </w:t>
            </w:r>
          </w:p>
        </w:tc>
        <w:tc>
          <w:tcPr>
            <w:tcW w:w="883" w:type="dxa"/>
            <w:hideMark/>
          </w:tcPr>
          <w:p w14:paraId="4047FA9C"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  </w:t>
            </w:r>
          </w:p>
        </w:tc>
        <w:tc>
          <w:tcPr>
            <w:tcW w:w="765" w:type="dxa"/>
            <w:hideMark/>
          </w:tcPr>
          <w:p w14:paraId="24660565"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5 </w:t>
            </w:r>
          </w:p>
        </w:tc>
        <w:tc>
          <w:tcPr>
            <w:tcW w:w="883" w:type="dxa"/>
            <w:hideMark/>
          </w:tcPr>
          <w:p w14:paraId="78E9BB8B" w14:textId="77777777" w:rsidR="0000288B" w:rsidRPr="00892DB5" w:rsidRDefault="0000288B" w:rsidP="0086054E">
            <w:pPr>
              <w:jc w:val="right"/>
              <w:cnfStyle w:val="000000000000" w:firstRow="0" w:lastRow="0" w:firstColumn="0" w:lastColumn="0" w:oddVBand="0" w:evenVBand="0" w:oddHBand="0" w:evenHBand="0" w:firstRowFirstColumn="0" w:firstRowLastColumn="0" w:lastRowFirstColumn="0" w:lastRowLastColumn="0"/>
              <w:rPr>
                <w:sz w:val="20"/>
                <w:szCs w:val="20"/>
              </w:rPr>
            </w:pPr>
            <w:r w:rsidRPr="00892DB5">
              <w:rPr>
                <w:sz w:val="20"/>
                <w:szCs w:val="20"/>
              </w:rPr>
              <w:t>*  </w:t>
            </w:r>
          </w:p>
        </w:tc>
      </w:tr>
      <w:tr w:rsidR="0000288B" w:rsidRPr="00892DB5" w14:paraId="2EA24706" w14:textId="77777777" w:rsidTr="00860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hideMark/>
          </w:tcPr>
          <w:p w14:paraId="00990F0D" w14:textId="77777777" w:rsidR="0000288B" w:rsidRPr="008E1893" w:rsidRDefault="0000288B" w:rsidP="0086054E">
            <w:pPr>
              <w:rPr>
                <w:color w:val="auto"/>
                <w:sz w:val="20"/>
                <w:szCs w:val="20"/>
              </w:rPr>
            </w:pPr>
            <w:r w:rsidRPr="008E1893">
              <w:rPr>
                <w:color w:val="auto"/>
                <w:sz w:val="20"/>
                <w:szCs w:val="20"/>
              </w:rPr>
              <w:t>9.F.i.</w:t>
            </w:r>
          </w:p>
        </w:tc>
        <w:tc>
          <w:tcPr>
            <w:tcW w:w="765" w:type="dxa"/>
            <w:hideMark/>
          </w:tcPr>
          <w:p w14:paraId="0AE30E56"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11 </w:t>
            </w:r>
          </w:p>
        </w:tc>
        <w:tc>
          <w:tcPr>
            <w:tcW w:w="925" w:type="dxa"/>
            <w:hideMark/>
          </w:tcPr>
          <w:p w14:paraId="43A9BDF4"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7 962</w:t>
            </w:r>
          </w:p>
        </w:tc>
        <w:tc>
          <w:tcPr>
            <w:tcW w:w="765" w:type="dxa"/>
            <w:hideMark/>
          </w:tcPr>
          <w:p w14:paraId="61E90E45"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15 </w:t>
            </w:r>
          </w:p>
        </w:tc>
        <w:tc>
          <w:tcPr>
            <w:tcW w:w="925" w:type="dxa"/>
            <w:hideMark/>
          </w:tcPr>
          <w:p w14:paraId="44D5604E"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11 533</w:t>
            </w:r>
          </w:p>
        </w:tc>
        <w:tc>
          <w:tcPr>
            <w:tcW w:w="765" w:type="dxa"/>
            <w:hideMark/>
          </w:tcPr>
          <w:p w14:paraId="48DC781D"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16 </w:t>
            </w:r>
          </w:p>
        </w:tc>
        <w:tc>
          <w:tcPr>
            <w:tcW w:w="883" w:type="dxa"/>
            <w:hideMark/>
          </w:tcPr>
          <w:p w14:paraId="4CF8B9F7"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14 580</w:t>
            </w:r>
          </w:p>
        </w:tc>
        <w:tc>
          <w:tcPr>
            <w:tcW w:w="765" w:type="dxa"/>
            <w:hideMark/>
          </w:tcPr>
          <w:p w14:paraId="7D0312DE"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14 </w:t>
            </w:r>
          </w:p>
        </w:tc>
        <w:tc>
          <w:tcPr>
            <w:tcW w:w="883" w:type="dxa"/>
            <w:hideMark/>
          </w:tcPr>
          <w:p w14:paraId="79F7BC31"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11 693</w:t>
            </w:r>
          </w:p>
        </w:tc>
        <w:tc>
          <w:tcPr>
            <w:tcW w:w="765" w:type="dxa"/>
            <w:hideMark/>
          </w:tcPr>
          <w:p w14:paraId="2FFB9338"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15 </w:t>
            </w:r>
          </w:p>
        </w:tc>
        <w:tc>
          <w:tcPr>
            <w:tcW w:w="883" w:type="dxa"/>
            <w:hideMark/>
          </w:tcPr>
          <w:p w14:paraId="614BA914" w14:textId="77777777" w:rsidR="0000288B" w:rsidRPr="00892DB5" w:rsidRDefault="0000288B" w:rsidP="0086054E">
            <w:pPr>
              <w:jc w:val="right"/>
              <w:cnfStyle w:val="000000100000" w:firstRow="0" w:lastRow="0" w:firstColumn="0" w:lastColumn="0" w:oddVBand="0" w:evenVBand="0" w:oddHBand="1" w:evenHBand="0" w:firstRowFirstColumn="0" w:firstRowLastColumn="0" w:lastRowFirstColumn="0" w:lastRowLastColumn="0"/>
              <w:rPr>
                <w:sz w:val="20"/>
                <w:szCs w:val="20"/>
              </w:rPr>
            </w:pPr>
            <w:r w:rsidRPr="00892DB5">
              <w:rPr>
                <w:sz w:val="20"/>
                <w:szCs w:val="20"/>
              </w:rPr>
              <w:t>13 888</w:t>
            </w:r>
          </w:p>
        </w:tc>
      </w:tr>
    </w:tbl>
    <w:p w14:paraId="5AF17810" w14:textId="043C6B3C" w:rsidR="0000288B" w:rsidRPr="0087790C" w:rsidRDefault="0000288B" w:rsidP="0000288B">
      <w:pPr>
        <w:pStyle w:val="Zdroj"/>
      </w:pPr>
      <w:r w:rsidRPr="00892DB5">
        <w:t>Zdroj: vyžádaná data z MZe, * nevykazováno/nesledováno</w:t>
      </w:r>
    </w:p>
    <w:p w14:paraId="7C97D241" w14:textId="429B9E38" w:rsidR="0000288B" w:rsidRPr="00892DB5" w:rsidRDefault="0000288B" w:rsidP="006752D6">
      <w:pPr>
        <w:pStyle w:val="Nadpis3"/>
        <w:rPr>
          <w:lang w:val="cs-CZ"/>
        </w:rPr>
      </w:pPr>
      <w:bookmarkStart w:id="58" w:name="_Toc80347825"/>
      <w:bookmarkStart w:id="59" w:name="_Toc81752189"/>
      <w:r w:rsidRPr="00892DB5">
        <w:rPr>
          <w:lang w:val="cs-CZ"/>
        </w:rPr>
        <w:t>Administrativní náročnost</w:t>
      </w:r>
      <w:bookmarkEnd w:id="58"/>
      <w:bookmarkEnd w:id="59"/>
    </w:p>
    <w:p w14:paraId="6769FCA6" w14:textId="77777777" w:rsidR="0000288B" w:rsidRPr="00892DB5" w:rsidRDefault="0000288B" w:rsidP="00B01CE9">
      <w:pPr>
        <w:pStyle w:val="UZEINormaln"/>
      </w:pPr>
      <w:r w:rsidRPr="00892DB5">
        <w:t>Samotné založení podniku je náročný dlouhodobý proces. Nadměrná administrativa a kontroly spojené se zahájením činnosti byly a jsou další bariérou pro mladé zemědělce dotazované v rámci šetření ÚZEI. Pro 82,8 % respondentů byla rozhodně nebo spíše administrativa zatěžující. Dalších 4,1 % se netýkala a zbytek dotazovaných administrativní zátěž nepovažovalo za důležitou. Některým mladým začínajícím zemědělcům činilo problém strategické plánování, pravděpodobně postrádali zkušenosti s návrhem podnikatelského plánu, protože měli obtíže s určením co vyrábět, pro koho vyrábět, s volbou cenové strategie apod. 16,7 % zemědělců uvedlo odpověď „Rozhodně ano“ a 21,4 % „Spíše ano“. „Spíše ne“ byla odpověď 37,5 % zemědělců a „Rozhodně ne“ 16,3 %.</w:t>
      </w:r>
    </w:p>
    <w:p w14:paraId="23EDBBCA" w14:textId="192BBEA3" w:rsidR="006752D6" w:rsidRPr="00892DB5" w:rsidRDefault="0000288B" w:rsidP="00B01CE9">
      <w:pPr>
        <w:pStyle w:val="UZEINormaln"/>
      </w:pPr>
      <w:r w:rsidRPr="00892DB5">
        <w:t>Přesto, že ze SZP jsou poskytovány dotace pro mladé začínající zemědělce, které by měly zahájení činnosti usnadnit, Zagata et al. (2017) identifikovali jako překážku pro získání dotací administrativní dovednosti. Zde by mohl a měl sehrát svou úlohu poradenský systém AKIS.</w:t>
      </w:r>
    </w:p>
    <w:p w14:paraId="0AD31B02" w14:textId="42E37629" w:rsidR="0000288B" w:rsidRPr="00B01CE9" w:rsidRDefault="0000288B" w:rsidP="00B01CE9">
      <w:pPr>
        <w:pStyle w:val="Nadpis3"/>
      </w:pPr>
      <w:bookmarkStart w:id="60" w:name="_Toc80347826"/>
      <w:bookmarkStart w:id="61" w:name="_Toc81752190"/>
      <w:r w:rsidRPr="00B01CE9">
        <w:t>Neochota mladých vstupovat do zemědělství</w:t>
      </w:r>
      <w:bookmarkEnd w:id="60"/>
      <w:bookmarkEnd w:id="61"/>
    </w:p>
    <w:p w14:paraId="5FBFD040" w14:textId="77777777" w:rsidR="0000288B" w:rsidRPr="00892DB5" w:rsidRDefault="0000288B" w:rsidP="004F37D3">
      <w:pPr>
        <w:pStyle w:val="UZEINormaln"/>
      </w:pPr>
      <w:r w:rsidRPr="00892DB5">
        <w:t>Problém generační obměny je spjat i s nehmotnými faktory, jako je atraktivita práce v zemědělství pro mladé lidi, prestiž zemědělství ve společnosti apod</w:t>
      </w:r>
      <w:bookmarkStart w:id="62" w:name="_Hlk522257022"/>
      <w:r w:rsidRPr="00892DB5">
        <w:t xml:space="preserve">. I přes stále relativně vysoký počet absolventů středních a vysokých škol hledají tito absolventi často umístění v jiných odvětvích národního hospodářství. Podle empirického výzkumu ÚZEI mezi studenty posledních ročníků středoškolských zemědělských oborů (Spěšná a kol., 2016) po ukončení školy směřovalo rovnou do zemědělství cca 30 % studentů a cca 25 % plánovalo pracovat v zemědělství po navazujícím studiu na vysoké škole (7 % zamýšlelo pracovat v příbuzném odvětví). Z absolventů AF MENDELU v Brně směřovalo v roce 2013 do zemědělské výroby necelých 20 %, přibližně čtvrtina absolventů hodlala pracovat v zemědělském výzkumu, školství, státní správě a poradenství (Spěšná a kol., 2013). </w:t>
      </w:r>
    </w:p>
    <w:p w14:paraId="5CA50DC0" w14:textId="77777777" w:rsidR="0000288B" w:rsidRPr="00892DB5" w:rsidRDefault="0000288B" w:rsidP="004F37D3">
      <w:pPr>
        <w:pStyle w:val="UZEINormaln"/>
      </w:pPr>
      <w:r w:rsidRPr="00892DB5">
        <w:t>Tento problém je do určité míry také v posledních letech stupňován dlouhodobějším růstem národní ekonomiky, kdy produktivní pracovníci se alokují do atraktivnějších odvětví s vyššími příjmovými možnostmi a v celém hospodářství chybí aktuálně cca 300 tis pracovníků (stav květen 2018).</w:t>
      </w:r>
    </w:p>
    <w:p w14:paraId="430D6B2C" w14:textId="77777777" w:rsidR="0000288B" w:rsidRPr="00892DB5" w:rsidRDefault="0000288B" w:rsidP="004F37D3">
      <w:pPr>
        <w:pStyle w:val="UZEINormaln"/>
      </w:pPr>
      <w:r w:rsidRPr="00892DB5">
        <w:t xml:space="preserve">Podle výzkumu ÚZEI (2016) téměř 46 % absolventů středních škol zemědělského zaměření ani neplánuje v odvětví pracovat. Na druhou stranu z 54 % dotazovaných absolventů, kteří </w:t>
      </w:r>
      <w:r w:rsidRPr="00892DB5">
        <w:lastRenderedPageBreak/>
        <w:t xml:space="preserve">v zemědělství pracovat chtějí, jich 97,2 % uvedlo, že vliv na jejich rozhodnutí mělo to, že je práce baví. Obdobně i dotazování ÚZEI (2018) zjistilo, že pro většinu mladých zemědělců, kteří zahájili zemědělskou činnost, bylo motivem, že je práce baví, že se jedná o práci v přírodě nebo se zvířaty. Je možné, že ti mladí, kteří do zemědělství vstoupit nechtějí, nemají třeba správné informace o tom, co toto povolání obnáší, jak je finančně ohodnoceno, jaká je skutečná náročnost práce, jaké jsou nové technologie, „smart farming“, precizní zemědělství za využití informačních a komunikačních technologií apod. </w:t>
      </w:r>
    </w:p>
    <w:p w14:paraId="35962B51" w14:textId="0B23AB80" w:rsidR="0000288B" w:rsidRPr="00892DB5" w:rsidRDefault="0000288B" w:rsidP="004F37D3">
      <w:pPr>
        <w:pStyle w:val="UZEINormaln"/>
      </w:pPr>
      <w:r w:rsidRPr="00892DB5">
        <w:t xml:space="preserve">Na předpokladu, že „mladší generace je více otevřena přijímání nových poznatků a hospodářských praktik“, jsou založeny i podpory pro generační obměnu zemědělských manažerů (Ekotoxa a Ireas, 2016) – podpora zahájení činnosti mladých zemědělců. </w:t>
      </w:r>
    </w:p>
    <w:p w14:paraId="5D08A0E9" w14:textId="77777777" w:rsidR="0000288B" w:rsidRPr="004F37D3" w:rsidRDefault="0000288B" w:rsidP="004F37D3">
      <w:pPr>
        <w:pStyle w:val="Nadpis3"/>
      </w:pPr>
      <w:bookmarkStart w:id="63" w:name="_Toc80347827"/>
      <w:bookmarkStart w:id="64" w:name="_Toc81752191"/>
      <w:r w:rsidRPr="004F37D3">
        <w:t>Neochota předávat hospodářství mladší generaci</w:t>
      </w:r>
      <w:bookmarkEnd w:id="63"/>
      <w:bookmarkEnd w:id="64"/>
    </w:p>
    <w:p w14:paraId="2F11E65C" w14:textId="77777777" w:rsidR="0000288B" w:rsidRPr="00892DB5" w:rsidRDefault="0000288B" w:rsidP="004F37D3">
      <w:pPr>
        <w:pStyle w:val="UZEINormaln"/>
      </w:pPr>
      <w:r w:rsidRPr="00892DB5">
        <w:t xml:space="preserve">K nedostatečné generační obměně v zemědělství přispívá i přetrvávající </w:t>
      </w:r>
      <w:r w:rsidRPr="00892DB5">
        <w:rPr>
          <w:b/>
        </w:rPr>
        <w:t>neochota starší zemědělské</w:t>
      </w:r>
      <w:r w:rsidRPr="00892DB5">
        <w:t xml:space="preserve"> </w:t>
      </w:r>
      <w:r w:rsidRPr="00892DB5">
        <w:rPr>
          <w:b/>
        </w:rPr>
        <w:t>generace předávat</w:t>
      </w:r>
      <w:r w:rsidRPr="00892DB5">
        <w:t xml:space="preserve"> svá hospodářství. Jedním z důvodů může být absence dědice hospodářství nebo pobírání přímých plateb a příjmů z hospodaření jako „přivýdělku“ k důchodu. Rozsah problému v ČR ale není přesně zmapován. Pouze je možné konstatovat, že podíl vedoucích ve věkové kategorii nad 65 let činí 26,8 %. </w:t>
      </w:r>
    </w:p>
    <w:p w14:paraId="5CBF177C" w14:textId="77777777" w:rsidR="0000288B" w:rsidRPr="00892DB5" w:rsidRDefault="0000288B" w:rsidP="004F37D3">
      <w:pPr>
        <w:pStyle w:val="UZEINormaln"/>
      </w:pPr>
      <w:r w:rsidRPr="00892DB5">
        <w:t>Na základě šetření ÚZEI (2018) na vzorku 510 mladých zemědělců z ČR byl podíl převzatého hospodaření po rodičích nebo jiných příbuzných téměř stejný jako zahájení podnikání v zemědělství bez předchozího zázemí – v obou případech se pohyboval okolo 40 % (konkrétně 41,8 % a 42,4 %). V rámci opatření I.1.3 Předčasné ukončení zemědělské činnosti Programu rozvoje venkova 2007–2013 bylo ve 38 % případů (239 z 622 podaných žádostí) převzato hospodářství po rodičích (Ekotoxa a Ireas, 2016). V programovém období 2014–2020 převzalo hospodářství od zemědělců straších 55 let 33,3 % úspěšných žadatelů o dotaci na zahájení činnosti mladého zemědělce.</w:t>
      </w:r>
    </w:p>
    <w:bookmarkEnd w:id="62"/>
    <w:p w14:paraId="29F4D580" w14:textId="77777777" w:rsidR="0000288B" w:rsidRPr="00892DB5" w:rsidRDefault="0000288B" w:rsidP="004F37D3">
      <w:pPr>
        <w:pStyle w:val="UZEINormaln"/>
        <w:rPr>
          <w:b/>
          <w:sz w:val="28"/>
        </w:rPr>
      </w:pPr>
      <w:r w:rsidRPr="00892DB5">
        <w:br w:type="page"/>
      </w:r>
    </w:p>
    <w:p w14:paraId="30AF6718" w14:textId="6A17F576" w:rsidR="0000288B" w:rsidRPr="00892DB5" w:rsidRDefault="0000288B" w:rsidP="006752D6">
      <w:pPr>
        <w:pStyle w:val="Nadpis1"/>
      </w:pPr>
      <w:bookmarkStart w:id="65" w:name="_Toc80347828"/>
      <w:bookmarkStart w:id="66" w:name="_Toc81752192"/>
      <w:r w:rsidRPr="00892DB5">
        <w:lastRenderedPageBreak/>
        <w:t>Závažnost problému</w:t>
      </w:r>
      <w:r w:rsidRPr="00892DB5">
        <w:rPr>
          <w:rStyle w:val="Znakapoznpodarou"/>
        </w:rPr>
        <w:footnoteReference w:id="14"/>
      </w:r>
      <w:bookmarkEnd w:id="65"/>
      <w:bookmarkEnd w:id="66"/>
    </w:p>
    <w:p w14:paraId="5412C428" w14:textId="48ADCE60" w:rsidR="0000288B" w:rsidRPr="00892DB5" w:rsidRDefault="0000288B" w:rsidP="004C6086">
      <w:pPr>
        <w:pStyle w:val="Nadpis2"/>
      </w:pPr>
      <w:bookmarkStart w:id="67" w:name="_Toc80347829"/>
      <w:bookmarkStart w:id="68" w:name="_Toc81752193"/>
      <w:r w:rsidRPr="00892DB5">
        <w:t>Věková struktura vedoucích pracovníků v zemědělství</w:t>
      </w:r>
      <w:bookmarkStart w:id="69" w:name="_Hlk515877241"/>
      <w:bookmarkEnd w:id="67"/>
      <w:bookmarkEnd w:id="68"/>
    </w:p>
    <w:bookmarkEnd w:id="69"/>
    <w:p w14:paraId="6EFC1476" w14:textId="77777777" w:rsidR="0000288B" w:rsidRPr="00892DB5" w:rsidRDefault="0000288B" w:rsidP="004C6086">
      <w:pPr>
        <w:pStyle w:val="UZEINormaln"/>
      </w:pPr>
      <w:r w:rsidRPr="00892DB5">
        <w:t xml:space="preserve">Zatímco v roce 2010 byl dle Eurostatu podíl podniků mladých manažerů do 35 let 11,7 %, v roce 2016 činil pouze 4,4 %. Celkově došlo k poklesu podílu všech věkových kategorií v důsledku nárůstu podílu nejstarších zemědělců – výrazně totiž narostl podíl podniků vedených zemědělci staršími 65 let (z 12,8 % na 26,8 %). </w:t>
      </w:r>
    </w:p>
    <w:p w14:paraId="57A9DC37" w14:textId="77777777" w:rsidR="0000288B" w:rsidRPr="00892DB5" w:rsidRDefault="0000288B" w:rsidP="004C6086">
      <w:pPr>
        <w:pStyle w:val="UZEINormaln"/>
      </w:pPr>
      <w:r w:rsidRPr="00892DB5">
        <w:rPr>
          <w:rFonts w:eastAsia="Calibri" w:cs="Times New Roman"/>
        </w:rPr>
        <w:t xml:space="preserve">Co se týče podílu žen ve vedení zemědělských podniků, dle Eurostatu se pohyboval v roce 2010 okolo 15,1 %, do roku 2016, ale klesl na 12,1 %. V kategorii do 35 let byl podíl žen vyšší a stabilní (v roce 2010 16, 9 % a v roce 2016 16,1 %). </w:t>
      </w:r>
    </w:p>
    <w:p w14:paraId="36E269B8" w14:textId="73D1B8D5" w:rsidR="006752D6" w:rsidRPr="00892DB5" w:rsidRDefault="0000288B" w:rsidP="004C6086">
      <w:pPr>
        <w:pStyle w:val="UZEINormaln"/>
      </w:pPr>
      <w:r w:rsidRPr="00892DB5">
        <w:t>Podíváme-li se na strukturu roku 2016, kde je již možné zhodnotit kategorii mladých zemědělců do 40 let věku, poměr mladých na celkovém počtu je 10,2 %. Toto odpovídá průměru EU (10,6 %). Celkem v tomto roce existovalo 2 710 farem, které obhospodařovaly 11,9 % výměry ČR (celkem 410 340 ha). Z toho u 440 farem (16,2 %) byly ve vedení ženy. V průměru mladí zemědělci chovali 79,5 dobytčích jednotek a zaměstnávali 3,95 AWU. SO činila v průměru 216.4 tisíc EUR.</w:t>
      </w:r>
    </w:p>
    <w:p w14:paraId="75484718" w14:textId="239D0776" w:rsidR="0000288B" w:rsidRPr="00892DB5" w:rsidRDefault="0000288B" w:rsidP="004C6086">
      <w:pPr>
        <w:pStyle w:val="Nadpis2"/>
      </w:pPr>
      <w:bookmarkStart w:id="70" w:name="_Toc80347830"/>
      <w:bookmarkStart w:id="71" w:name="_Toc81752194"/>
      <w:r w:rsidRPr="00892DB5">
        <w:t>Vzdělanostní struktura vedoucích pracovníků v zemědělství</w:t>
      </w:r>
      <w:bookmarkEnd w:id="70"/>
      <w:bookmarkEnd w:id="71"/>
    </w:p>
    <w:p w14:paraId="70DC50E3" w14:textId="77777777" w:rsidR="0000288B" w:rsidRPr="00892DB5" w:rsidRDefault="0000288B" w:rsidP="004C6086">
      <w:pPr>
        <w:pStyle w:val="UZEINormaln"/>
      </w:pPr>
      <w:r w:rsidRPr="00892DB5">
        <w:t>V období 2008–2017 narostl počet absolventů zemědělských a veterinárních vysokoškolských oborů přibližně o 6 %. Jejich podíl na všech absolventech vysokých škol činil cca 3 % a výrazně se nezměnil (za 10 let nárůst o 0,2 p. b.). (MŠMT, 2020)</w:t>
      </w:r>
    </w:p>
    <w:p w14:paraId="4F180754" w14:textId="77777777" w:rsidR="0000288B" w:rsidRPr="00892DB5" w:rsidRDefault="0000288B" w:rsidP="004C6086">
      <w:pPr>
        <w:pStyle w:val="UZEINormaln"/>
      </w:pPr>
      <w:r w:rsidRPr="00892DB5">
        <w:t xml:space="preserve">Naopak u středoškolských zemědělských oborů (Spěšná a kol., 2017; dle dat NÚV), v období 2006-2016 došlo k výraznému úbytku počtu studentů prvních ročníků zemědělských oborů (o 20 %), což korespondovalo s všeobecným úbytkem počtu studentů v tomto období. V zemědělských oborech byl přitom úbytek mírnější než v úhrnu za všechny obory celkem. Podíl studentů zemědělských oborů na celkovém počtu studentů se tak v průběhu sledovaného období zvýšil a v posledních letech se stabilizoval na téměř 6 %. Pokles počtu absolventů zemědělských oborů byl však podstatně výraznější a činil přibližně 40 %. </w:t>
      </w:r>
    </w:p>
    <w:p w14:paraId="67DE0CE3" w14:textId="77777777" w:rsidR="0000288B" w:rsidRPr="00892DB5" w:rsidRDefault="0000288B" w:rsidP="004C6086">
      <w:pPr>
        <w:pStyle w:val="UZEINormaln"/>
      </w:pPr>
      <w:r w:rsidRPr="00892DB5">
        <w:t>Co se týče vzdělanostní struktury manažerů v zemědělství, je patrné, že nejvyšší zastoupení mají vedoucí pracovníci zemědělských podniků pouze s praktickými zkušenostmi (v oblasti zemědělství), i když se jejich podíl snižoval, a to v důsledku nárůstu podílu pracovníků s úplným středním vzděláním zakončeným maturitou, a s vyšším a vysokoškolským vzděláním. Poměrně setrvalý, nepatrně klesající, podíl si v těchto letech ponechávali pracovníci se základním vzděláním. Na základě dlouhodobých trendů lze předpokládat pozvolné zlepšování vzdělanostní struktury zemědělců, samotný charakter zemědělské práce však do jisté míry determinuje, že vzdělanostní úroveň pracovníků v zemědělství zůstává nižší než v celém NH.</w:t>
      </w:r>
    </w:p>
    <w:p w14:paraId="4CA14578" w14:textId="77777777" w:rsidR="0000288B" w:rsidRPr="00892DB5" w:rsidRDefault="0000288B" w:rsidP="004C6086">
      <w:pPr>
        <w:pStyle w:val="UZEINormaln"/>
      </w:pPr>
      <w:r w:rsidRPr="00892DB5">
        <w:t xml:space="preserve">Dále se ukazuje, že vzdělání vedoucích pracovníků zemědělských podniků se zcela jasně lišilo v závislosti na právní formě podniku. V podnicích právnických osob dominovalo úplné vzdělání ve všech sledovaných letech (pro rok 2005 nebylo rozdělení dostupné), i když se podíl snižoval (z 81,7 % v roce 2007 na 78,3 % v roce 2016). Pouze praktické zkušenosti byly hlavním typem zemědělského vzdělání v případě vedoucích podniků fyzických osob (v roce 2007 byl tento podíl 53,7 % a o 9 let později už jenom 42,8 %). Nicméně z hlediska trendů je patrné, že i v podnicích s touto právní formou začíná být větší podíl vedoucích s vyšším zemědělským vzděláním. V roce 2007 bylo v podnicích fyzických osob pouze 22,4 % </w:t>
      </w:r>
      <w:r w:rsidRPr="00892DB5">
        <w:lastRenderedPageBreak/>
        <w:t>vedoucích s úplným vzděláním, v roce 2016 jich již bylo 33,4 %. Samotné praktické zkušenosti tak pro vedení podniku nemusí do budoucna dostačovat.</w:t>
      </w:r>
    </w:p>
    <w:p w14:paraId="61F2E0BD" w14:textId="6CF9D453" w:rsidR="0000288B" w:rsidRPr="00892DB5" w:rsidRDefault="0000288B" w:rsidP="008F0213">
      <w:pPr>
        <w:pStyle w:val="UZEITaB"/>
      </w:pPr>
      <w:bookmarkStart w:id="72" w:name="_Toc35425690"/>
      <w:bookmarkStart w:id="73" w:name="_Toc81751998"/>
      <w:r w:rsidRPr="00892DB5">
        <w:t>Vývoj vzdělanostní struktury manažerů zemědělských podniků</w:t>
      </w:r>
      <w:bookmarkEnd w:id="72"/>
      <w:bookmarkEnd w:id="73"/>
    </w:p>
    <w:tbl>
      <w:tblPr>
        <w:tblStyle w:val="Tmavtabulkasmkou5zvraznn3"/>
        <w:tblW w:w="9070" w:type="dxa"/>
        <w:tblLook w:val="04A0" w:firstRow="1" w:lastRow="0" w:firstColumn="1" w:lastColumn="0" w:noHBand="0" w:noVBand="1"/>
      </w:tblPr>
      <w:tblGrid>
        <w:gridCol w:w="1966"/>
        <w:gridCol w:w="869"/>
        <w:gridCol w:w="1247"/>
        <w:gridCol w:w="1247"/>
        <w:gridCol w:w="1247"/>
        <w:gridCol w:w="1247"/>
        <w:gridCol w:w="1247"/>
      </w:tblGrid>
      <w:tr w:rsidR="0000288B" w:rsidRPr="00185EDD" w14:paraId="4C3E1F99" w14:textId="77777777" w:rsidTr="0086054E">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966" w:type="dxa"/>
            <w:hideMark/>
          </w:tcPr>
          <w:p w14:paraId="3DA48BD3" w14:textId="77777777" w:rsidR="0000288B" w:rsidRPr="00185EDD" w:rsidRDefault="0000288B" w:rsidP="0086054E">
            <w:pPr>
              <w:keepNext/>
              <w:rPr>
                <w:rFonts w:eastAsia="Times New Roman"/>
                <w:sz w:val="20"/>
                <w:szCs w:val="20"/>
                <w:lang w:eastAsia="en-GB"/>
              </w:rPr>
            </w:pPr>
            <w:r w:rsidRPr="00185EDD">
              <w:rPr>
                <w:sz w:val="20"/>
                <w:szCs w:val="20"/>
              </w:rPr>
              <w:t> </w:t>
            </w:r>
          </w:p>
        </w:tc>
        <w:tc>
          <w:tcPr>
            <w:tcW w:w="869" w:type="dxa"/>
            <w:hideMark/>
          </w:tcPr>
          <w:p w14:paraId="6C94FD55" w14:textId="77777777" w:rsidR="0000288B" w:rsidRPr="00185EDD" w:rsidRDefault="0000288B" w:rsidP="0086054E">
            <w:pPr>
              <w:keepNext/>
              <w:cnfStyle w:val="100000000000" w:firstRow="1"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 </w:t>
            </w:r>
          </w:p>
        </w:tc>
        <w:tc>
          <w:tcPr>
            <w:tcW w:w="1247" w:type="dxa"/>
            <w:hideMark/>
          </w:tcPr>
          <w:p w14:paraId="2AC7A45C" w14:textId="77777777" w:rsidR="0000288B" w:rsidRPr="00A62FC4" w:rsidRDefault="0000288B" w:rsidP="00A62FC4">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en-GB"/>
              </w:rPr>
            </w:pPr>
            <w:r w:rsidRPr="00A62FC4">
              <w:rPr>
                <w:color w:val="000000" w:themeColor="text1"/>
                <w:sz w:val="20"/>
                <w:szCs w:val="20"/>
              </w:rPr>
              <w:t>2005</w:t>
            </w:r>
          </w:p>
        </w:tc>
        <w:tc>
          <w:tcPr>
            <w:tcW w:w="1247" w:type="dxa"/>
            <w:hideMark/>
          </w:tcPr>
          <w:p w14:paraId="47F92846" w14:textId="77777777" w:rsidR="0000288B" w:rsidRPr="00A62FC4" w:rsidRDefault="0000288B" w:rsidP="00A62FC4">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en-GB"/>
              </w:rPr>
            </w:pPr>
            <w:r w:rsidRPr="00A62FC4">
              <w:rPr>
                <w:color w:val="000000" w:themeColor="text1"/>
                <w:sz w:val="20"/>
                <w:szCs w:val="20"/>
              </w:rPr>
              <w:t>2007</w:t>
            </w:r>
          </w:p>
        </w:tc>
        <w:tc>
          <w:tcPr>
            <w:tcW w:w="1247" w:type="dxa"/>
            <w:hideMark/>
          </w:tcPr>
          <w:p w14:paraId="3C8AF0E1" w14:textId="77777777" w:rsidR="0000288B" w:rsidRPr="00A62FC4" w:rsidRDefault="0000288B" w:rsidP="00A62FC4">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en-GB"/>
              </w:rPr>
            </w:pPr>
            <w:r w:rsidRPr="00A62FC4">
              <w:rPr>
                <w:color w:val="000000" w:themeColor="text1"/>
                <w:sz w:val="20"/>
                <w:szCs w:val="20"/>
              </w:rPr>
              <w:t>2010</w:t>
            </w:r>
          </w:p>
        </w:tc>
        <w:tc>
          <w:tcPr>
            <w:tcW w:w="1247" w:type="dxa"/>
            <w:hideMark/>
          </w:tcPr>
          <w:p w14:paraId="3947AD59" w14:textId="77777777" w:rsidR="0000288B" w:rsidRPr="00A62FC4" w:rsidRDefault="0000288B" w:rsidP="00A62FC4">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en-GB"/>
              </w:rPr>
            </w:pPr>
            <w:r w:rsidRPr="00A62FC4">
              <w:rPr>
                <w:color w:val="000000" w:themeColor="text1"/>
                <w:sz w:val="20"/>
                <w:szCs w:val="20"/>
              </w:rPr>
              <w:t>2013</w:t>
            </w:r>
          </w:p>
        </w:tc>
        <w:tc>
          <w:tcPr>
            <w:tcW w:w="1247" w:type="dxa"/>
            <w:hideMark/>
          </w:tcPr>
          <w:p w14:paraId="0DD1FF5C" w14:textId="77777777" w:rsidR="0000288B" w:rsidRPr="00A62FC4" w:rsidRDefault="0000288B" w:rsidP="00A62FC4">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en-GB"/>
              </w:rPr>
            </w:pPr>
            <w:r w:rsidRPr="00A62FC4">
              <w:rPr>
                <w:color w:val="000000" w:themeColor="text1"/>
                <w:sz w:val="20"/>
                <w:szCs w:val="20"/>
              </w:rPr>
              <w:t>2016</w:t>
            </w:r>
          </w:p>
        </w:tc>
      </w:tr>
      <w:tr w:rsidR="0000288B" w:rsidRPr="00185EDD" w14:paraId="5B894CE1" w14:textId="77777777" w:rsidTr="008605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966" w:type="dxa"/>
            <w:vMerge w:val="restart"/>
            <w:hideMark/>
          </w:tcPr>
          <w:p w14:paraId="064F0CBF" w14:textId="77777777" w:rsidR="0000288B" w:rsidRPr="00A62FC4" w:rsidRDefault="0000288B" w:rsidP="0086054E">
            <w:pPr>
              <w:keepNext/>
              <w:rPr>
                <w:rFonts w:eastAsia="Times New Roman"/>
                <w:color w:val="000000" w:themeColor="text1"/>
                <w:sz w:val="20"/>
                <w:szCs w:val="20"/>
                <w:lang w:eastAsia="en-GB"/>
              </w:rPr>
            </w:pPr>
            <w:r w:rsidRPr="00A62FC4">
              <w:rPr>
                <w:color w:val="000000" w:themeColor="text1"/>
                <w:sz w:val="20"/>
                <w:szCs w:val="20"/>
              </w:rPr>
              <w:t>Pouze praktické zkušenosti</w:t>
            </w:r>
          </w:p>
        </w:tc>
        <w:tc>
          <w:tcPr>
            <w:tcW w:w="869" w:type="dxa"/>
            <w:hideMark/>
          </w:tcPr>
          <w:p w14:paraId="21A8BEE6"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počet</w:t>
            </w:r>
          </w:p>
        </w:tc>
        <w:tc>
          <w:tcPr>
            <w:tcW w:w="1247" w:type="dxa"/>
            <w:hideMark/>
          </w:tcPr>
          <w:p w14:paraId="61B04A48"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23 360</w:t>
            </w:r>
          </w:p>
        </w:tc>
        <w:tc>
          <w:tcPr>
            <w:tcW w:w="1247" w:type="dxa"/>
            <w:hideMark/>
          </w:tcPr>
          <w:p w14:paraId="431E85FF"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19 628</w:t>
            </w:r>
          </w:p>
        </w:tc>
        <w:tc>
          <w:tcPr>
            <w:tcW w:w="1247" w:type="dxa"/>
            <w:hideMark/>
          </w:tcPr>
          <w:p w14:paraId="05075950"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9 913</w:t>
            </w:r>
          </w:p>
        </w:tc>
        <w:tc>
          <w:tcPr>
            <w:tcW w:w="1247" w:type="dxa"/>
            <w:hideMark/>
          </w:tcPr>
          <w:p w14:paraId="05FA0518"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12 254</w:t>
            </w:r>
          </w:p>
        </w:tc>
        <w:tc>
          <w:tcPr>
            <w:tcW w:w="1247" w:type="dxa"/>
            <w:hideMark/>
          </w:tcPr>
          <w:p w14:paraId="63A21194"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11 347</w:t>
            </w:r>
          </w:p>
        </w:tc>
      </w:tr>
      <w:tr w:rsidR="0000288B" w:rsidRPr="00185EDD" w14:paraId="282D7867" w14:textId="77777777" w:rsidTr="0086054E">
        <w:trPr>
          <w:trHeight w:val="315"/>
        </w:trPr>
        <w:tc>
          <w:tcPr>
            <w:cnfStyle w:val="001000000000" w:firstRow="0" w:lastRow="0" w:firstColumn="1" w:lastColumn="0" w:oddVBand="0" w:evenVBand="0" w:oddHBand="0" w:evenHBand="0" w:firstRowFirstColumn="0" w:firstRowLastColumn="0" w:lastRowFirstColumn="0" w:lastRowLastColumn="0"/>
            <w:tcW w:w="1966" w:type="dxa"/>
            <w:vMerge/>
            <w:hideMark/>
          </w:tcPr>
          <w:p w14:paraId="3D574614" w14:textId="77777777" w:rsidR="0000288B" w:rsidRPr="00A62FC4" w:rsidRDefault="0000288B" w:rsidP="0086054E">
            <w:pPr>
              <w:keepNext/>
              <w:rPr>
                <w:color w:val="000000" w:themeColor="text1"/>
                <w:sz w:val="20"/>
                <w:szCs w:val="20"/>
                <w:lang w:eastAsia="en-GB"/>
              </w:rPr>
            </w:pPr>
          </w:p>
        </w:tc>
        <w:tc>
          <w:tcPr>
            <w:tcW w:w="869" w:type="dxa"/>
            <w:hideMark/>
          </w:tcPr>
          <w:p w14:paraId="58284E26"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podíl</w:t>
            </w:r>
          </w:p>
        </w:tc>
        <w:tc>
          <w:tcPr>
            <w:tcW w:w="1247" w:type="dxa"/>
            <w:hideMark/>
          </w:tcPr>
          <w:p w14:paraId="1D4ADC54"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55,3 %</w:t>
            </w:r>
          </w:p>
        </w:tc>
        <w:tc>
          <w:tcPr>
            <w:tcW w:w="1247" w:type="dxa"/>
            <w:hideMark/>
          </w:tcPr>
          <w:p w14:paraId="5BF331CB"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50,6 %</w:t>
            </w:r>
          </w:p>
        </w:tc>
        <w:tc>
          <w:tcPr>
            <w:tcW w:w="1247" w:type="dxa"/>
            <w:hideMark/>
          </w:tcPr>
          <w:p w14:paraId="1BCA2A31"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43,4 %</w:t>
            </w:r>
          </w:p>
        </w:tc>
        <w:tc>
          <w:tcPr>
            <w:tcW w:w="1247" w:type="dxa"/>
            <w:hideMark/>
          </w:tcPr>
          <w:p w14:paraId="35C14D6D"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46,7 %</w:t>
            </w:r>
          </w:p>
        </w:tc>
        <w:tc>
          <w:tcPr>
            <w:tcW w:w="1247" w:type="dxa"/>
            <w:hideMark/>
          </w:tcPr>
          <w:p w14:paraId="53C42E35"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42,8 %</w:t>
            </w:r>
          </w:p>
        </w:tc>
      </w:tr>
      <w:tr w:rsidR="0000288B" w:rsidRPr="00185EDD" w14:paraId="1F41169F" w14:textId="77777777" w:rsidTr="008605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966" w:type="dxa"/>
            <w:vMerge w:val="restart"/>
            <w:hideMark/>
          </w:tcPr>
          <w:p w14:paraId="7370D664" w14:textId="77777777" w:rsidR="0000288B" w:rsidRPr="00A62FC4" w:rsidRDefault="0000288B" w:rsidP="0086054E">
            <w:pPr>
              <w:keepNext/>
              <w:rPr>
                <w:rFonts w:eastAsia="Times New Roman"/>
                <w:color w:val="000000" w:themeColor="text1"/>
                <w:sz w:val="20"/>
                <w:szCs w:val="20"/>
                <w:lang w:eastAsia="en-GB"/>
              </w:rPr>
            </w:pPr>
            <w:r w:rsidRPr="00A62FC4">
              <w:rPr>
                <w:color w:val="000000" w:themeColor="text1"/>
                <w:sz w:val="20"/>
                <w:szCs w:val="20"/>
              </w:rPr>
              <w:t>Základní</w:t>
            </w:r>
            <w:r w:rsidRPr="00A62FC4">
              <w:rPr>
                <w:color w:val="000000" w:themeColor="text1"/>
                <w:sz w:val="20"/>
                <w:szCs w:val="20"/>
                <w:vertAlign w:val="superscript"/>
              </w:rPr>
              <w:t>1)</w:t>
            </w:r>
          </w:p>
        </w:tc>
        <w:tc>
          <w:tcPr>
            <w:tcW w:w="869" w:type="dxa"/>
            <w:hideMark/>
          </w:tcPr>
          <w:p w14:paraId="4ADDA566"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počet</w:t>
            </w:r>
          </w:p>
        </w:tc>
        <w:tc>
          <w:tcPr>
            <w:tcW w:w="1247" w:type="dxa"/>
            <w:hideMark/>
          </w:tcPr>
          <w:p w14:paraId="341F29A0"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8 260</w:t>
            </w:r>
          </w:p>
        </w:tc>
        <w:tc>
          <w:tcPr>
            <w:tcW w:w="1247" w:type="dxa"/>
            <w:hideMark/>
          </w:tcPr>
          <w:p w14:paraId="2A8CA45C"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7 474</w:t>
            </w:r>
          </w:p>
        </w:tc>
        <w:tc>
          <w:tcPr>
            <w:tcW w:w="1247" w:type="dxa"/>
            <w:hideMark/>
          </w:tcPr>
          <w:p w14:paraId="708A30F7"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4 482</w:t>
            </w:r>
          </w:p>
        </w:tc>
        <w:tc>
          <w:tcPr>
            <w:tcW w:w="1247" w:type="dxa"/>
            <w:hideMark/>
          </w:tcPr>
          <w:p w14:paraId="008561E1"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4 905</w:t>
            </w:r>
          </w:p>
        </w:tc>
        <w:tc>
          <w:tcPr>
            <w:tcW w:w="1247" w:type="dxa"/>
            <w:hideMark/>
          </w:tcPr>
          <w:p w14:paraId="1808A8D1"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4 908</w:t>
            </w:r>
          </w:p>
        </w:tc>
      </w:tr>
      <w:tr w:rsidR="0000288B" w:rsidRPr="00185EDD" w14:paraId="14EB1EB8" w14:textId="77777777" w:rsidTr="0086054E">
        <w:trPr>
          <w:trHeight w:val="315"/>
        </w:trPr>
        <w:tc>
          <w:tcPr>
            <w:cnfStyle w:val="001000000000" w:firstRow="0" w:lastRow="0" w:firstColumn="1" w:lastColumn="0" w:oddVBand="0" w:evenVBand="0" w:oddHBand="0" w:evenHBand="0" w:firstRowFirstColumn="0" w:firstRowLastColumn="0" w:lastRowFirstColumn="0" w:lastRowLastColumn="0"/>
            <w:tcW w:w="1966" w:type="dxa"/>
            <w:vMerge/>
            <w:hideMark/>
          </w:tcPr>
          <w:p w14:paraId="1F0D95B0" w14:textId="77777777" w:rsidR="0000288B" w:rsidRPr="00A62FC4" w:rsidRDefault="0000288B" w:rsidP="0086054E">
            <w:pPr>
              <w:keepNext/>
              <w:rPr>
                <w:color w:val="000000" w:themeColor="text1"/>
                <w:sz w:val="20"/>
                <w:szCs w:val="20"/>
                <w:lang w:eastAsia="en-GB"/>
              </w:rPr>
            </w:pPr>
          </w:p>
        </w:tc>
        <w:tc>
          <w:tcPr>
            <w:tcW w:w="869" w:type="dxa"/>
            <w:hideMark/>
          </w:tcPr>
          <w:p w14:paraId="67343A71"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podíl</w:t>
            </w:r>
          </w:p>
        </w:tc>
        <w:tc>
          <w:tcPr>
            <w:tcW w:w="1247" w:type="dxa"/>
            <w:hideMark/>
          </w:tcPr>
          <w:p w14:paraId="59B2FDC5"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19,6 %</w:t>
            </w:r>
          </w:p>
        </w:tc>
        <w:tc>
          <w:tcPr>
            <w:tcW w:w="1247" w:type="dxa"/>
            <w:hideMark/>
          </w:tcPr>
          <w:p w14:paraId="42BE4256"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19,3 %</w:t>
            </w:r>
          </w:p>
        </w:tc>
        <w:tc>
          <w:tcPr>
            <w:tcW w:w="1247" w:type="dxa"/>
            <w:hideMark/>
          </w:tcPr>
          <w:p w14:paraId="1803B9EE"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19,6 %</w:t>
            </w:r>
          </w:p>
        </w:tc>
        <w:tc>
          <w:tcPr>
            <w:tcW w:w="1247" w:type="dxa"/>
            <w:hideMark/>
          </w:tcPr>
          <w:p w14:paraId="6200AD62"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18,7 %</w:t>
            </w:r>
          </w:p>
        </w:tc>
        <w:tc>
          <w:tcPr>
            <w:tcW w:w="1247" w:type="dxa"/>
            <w:hideMark/>
          </w:tcPr>
          <w:p w14:paraId="4F088535"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18,5 %</w:t>
            </w:r>
          </w:p>
        </w:tc>
      </w:tr>
      <w:tr w:rsidR="0000288B" w:rsidRPr="00185EDD" w14:paraId="76A71A70" w14:textId="77777777" w:rsidTr="008605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966" w:type="dxa"/>
            <w:vMerge w:val="restart"/>
            <w:hideMark/>
          </w:tcPr>
          <w:p w14:paraId="1B0631DE" w14:textId="77777777" w:rsidR="0000288B" w:rsidRPr="00A62FC4" w:rsidRDefault="0000288B" w:rsidP="0086054E">
            <w:pPr>
              <w:keepNext/>
              <w:rPr>
                <w:rFonts w:eastAsia="Times New Roman"/>
                <w:color w:val="000000" w:themeColor="text1"/>
                <w:sz w:val="20"/>
                <w:szCs w:val="20"/>
                <w:lang w:eastAsia="en-GB"/>
              </w:rPr>
            </w:pPr>
            <w:r w:rsidRPr="00A62FC4">
              <w:rPr>
                <w:color w:val="000000" w:themeColor="text1"/>
                <w:sz w:val="20"/>
                <w:szCs w:val="20"/>
              </w:rPr>
              <w:t>Úplné</w:t>
            </w:r>
            <w:r w:rsidRPr="00A62FC4">
              <w:rPr>
                <w:color w:val="000000" w:themeColor="text1"/>
                <w:sz w:val="20"/>
                <w:szCs w:val="20"/>
                <w:vertAlign w:val="superscript"/>
              </w:rPr>
              <w:t>2)</w:t>
            </w:r>
          </w:p>
        </w:tc>
        <w:tc>
          <w:tcPr>
            <w:tcW w:w="869" w:type="dxa"/>
            <w:hideMark/>
          </w:tcPr>
          <w:p w14:paraId="57B3CDE4"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počet</w:t>
            </w:r>
          </w:p>
        </w:tc>
        <w:tc>
          <w:tcPr>
            <w:tcW w:w="1247" w:type="dxa"/>
            <w:hideMark/>
          </w:tcPr>
          <w:p w14:paraId="27EE7F2B"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10 630</w:t>
            </w:r>
          </w:p>
        </w:tc>
        <w:tc>
          <w:tcPr>
            <w:tcW w:w="1247" w:type="dxa"/>
            <w:hideMark/>
          </w:tcPr>
          <w:p w14:paraId="03915836"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10 424</w:t>
            </w:r>
          </w:p>
        </w:tc>
        <w:tc>
          <w:tcPr>
            <w:tcW w:w="1247" w:type="dxa"/>
            <w:hideMark/>
          </w:tcPr>
          <w:p w14:paraId="79F1BCF2"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8 469</w:t>
            </w:r>
          </w:p>
        </w:tc>
        <w:tc>
          <w:tcPr>
            <w:tcW w:w="1247" w:type="dxa"/>
            <w:hideMark/>
          </w:tcPr>
          <w:p w14:paraId="49EA8BFF"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9 086</w:t>
            </w:r>
          </w:p>
        </w:tc>
        <w:tc>
          <w:tcPr>
            <w:tcW w:w="1247" w:type="dxa"/>
            <w:hideMark/>
          </w:tcPr>
          <w:p w14:paraId="460987AF"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10 271</w:t>
            </w:r>
          </w:p>
        </w:tc>
      </w:tr>
      <w:tr w:rsidR="0000288B" w:rsidRPr="00185EDD" w14:paraId="678181F5" w14:textId="77777777" w:rsidTr="0086054E">
        <w:trPr>
          <w:trHeight w:val="315"/>
        </w:trPr>
        <w:tc>
          <w:tcPr>
            <w:cnfStyle w:val="001000000000" w:firstRow="0" w:lastRow="0" w:firstColumn="1" w:lastColumn="0" w:oddVBand="0" w:evenVBand="0" w:oddHBand="0" w:evenHBand="0" w:firstRowFirstColumn="0" w:firstRowLastColumn="0" w:lastRowFirstColumn="0" w:lastRowLastColumn="0"/>
            <w:tcW w:w="1966" w:type="dxa"/>
            <w:vMerge/>
            <w:hideMark/>
          </w:tcPr>
          <w:p w14:paraId="03AE410A" w14:textId="77777777" w:rsidR="0000288B" w:rsidRPr="00A62FC4" w:rsidRDefault="0000288B" w:rsidP="0086054E">
            <w:pPr>
              <w:keepNext/>
              <w:rPr>
                <w:color w:val="000000" w:themeColor="text1"/>
                <w:sz w:val="20"/>
                <w:szCs w:val="20"/>
                <w:lang w:eastAsia="en-GB"/>
              </w:rPr>
            </w:pPr>
          </w:p>
        </w:tc>
        <w:tc>
          <w:tcPr>
            <w:tcW w:w="869" w:type="dxa"/>
            <w:hideMark/>
          </w:tcPr>
          <w:p w14:paraId="4F01C3F8"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podíl</w:t>
            </w:r>
          </w:p>
        </w:tc>
        <w:tc>
          <w:tcPr>
            <w:tcW w:w="1247" w:type="dxa"/>
            <w:hideMark/>
          </w:tcPr>
          <w:p w14:paraId="11C7E8CC"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25,2 %</w:t>
            </w:r>
          </w:p>
        </w:tc>
        <w:tc>
          <w:tcPr>
            <w:tcW w:w="1247" w:type="dxa"/>
            <w:hideMark/>
          </w:tcPr>
          <w:p w14:paraId="3D3A9C92"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26,9 %</w:t>
            </w:r>
          </w:p>
        </w:tc>
        <w:tc>
          <w:tcPr>
            <w:tcW w:w="1247" w:type="dxa"/>
            <w:hideMark/>
          </w:tcPr>
          <w:p w14:paraId="0C956B4D"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37,0 %</w:t>
            </w:r>
          </w:p>
        </w:tc>
        <w:tc>
          <w:tcPr>
            <w:tcW w:w="1247" w:type="dxa"/>
            <w:hideMark/>
          </w:tcPr>
          <w:p w14:paraId="5B422FC7"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34,6 %</w:t>
            </w:r>
          </w:p>
        </w:tc>
        <w:tc>
          <w:tcPr>
            <w:tcW w:w="1247" w:type="dxa"/>
            <w:hideMark/>
          </w:tcPr>
          <w:p w14:paraId="152FD816"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38,7 %</w:t>
            </w:r>
          </w:p>
        </w:tc>
      </w:tr>
      <w:tr w:rsidR="0000288B" w:rsidRPr="00185EDD" w14:paraId="75D3CCCF" w14:textId="77777777" w:rsidTr="008605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966" w:type="dxa"/>
            <w:vMerge w:val="restart"/>
            <w:hideMark/>
          </w:tcPr>
          <w:p w14:paraId="6E637628" w14:textId="77777777" w:rsidR="0000288B" w:rsidRPr="00A62FC4" w:rsidRDefault="0000288B" w:rsidP="0086054E">
            <w:pPr>
              <w:keepNext/>
              <w:rPr>
                <w:rFonts w:eastAsia="Times New Roman"/>
                <w:color w:val="000000" w:themeColor="text1"/>
                <w:sz w:val="20"/>
                <w:szCs w:val="20"/>
                <w:lang w:eastAsia="en-GB"/>
              </w:rPr>
            </w:pPr>
            <w:r w:rsidRPr="00A62FC4">
              <w:rPr>
                <w:color w:val="000000" w:themeColor="text1"/>
                <w:sz w:val="20"/>
                <w:szCs w:val="20"/>
              </w:rPr>
              <w:t>Celkem</w:t>
            </w:r>
          </w:p>
        </w:tc>
        <w:tc>
          <w:tcPr>
            <w:tcW w:w="869" w:type="dxa"/>
            <w:hideMark/>
          </w:tcPr>
          <w:p w14:paraId="78B8DAC8"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počet</w:t>
            </w:r>
          </w:p>
        </w:tc>
        <w:tc>
          <w:tcPr>
            <w:tcW w:w="1247" w:type="dxa"/>
            <w:hideMark/>
          </w:tcPr>
          <w:p w14:paraId="66AE2D67"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42 250</w:t>
            </w:r>
          </w:p>
        </w:tc>
        <w:tc>
          <w:tcPr>
            <w:tcW w:w="1247" w:type="dxa"/>
            <w:hideMark/>
          </w:tcPr>
          <w:p w14:paraId="4310C746"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38 793</w:t>
            </w:r>
          </w:p>
        </w:tc>
        <w:tc>
          <w:tcPr>
            <w:tcW w:w="1247" w:type="dxa"/>
            <w:hideMark/>
          </w:tcPr>
          <w:p w14:paraId="75B98FC2"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22 864</w:t>
            </w:r>
          </w:p>
        </w:tc>
        <w:tc>
          <w:tcPr>
            <w:tcW w:w="1247" w:type="dxa"/>
            <w:hideMark/>
          </w:tcPr>
          <w:p w14:paraId="6ACD02AE"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26 246</w:t>
            </w:r>
          </w:p>
        </w:tc>
        <w:tc>
          <w:tcPr>
            <w:tcW w:w="1247" w:type="dxa"/>
            <w:hideMark/>
          </w:tcPr>
          <w:p w14:paraId="55ECBB21" w14:textId="77777777" w:rsidR="0000288B" w:rsidRPr="00185EDD" w:rsidRDefault="0000288B" w:rsidP="00A62FC4">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185EDD">
              <w:rPr>
                <w:sz w:val="20"/>
                <w:szCs w:val="20"/>
              </w:rPr>
              <w:t>26 525</w:t>
            </w:r>
          </w:p>
        </w:tc>
      </w:tr>
      <w:tr w:rsidR="0000288B" w:rsidRPr="00185EDD" w14:paraId="1ACB138B" w14:textId="77777777" w:rsidTr="0086054E">
        <w:trPr>
          <w:trHeight w:val="315"/>
        </w:trPr>
        <w:tc>
          <w:tcPr>
            <w:cnfStyle w:val="001000000000" w:firstRow="0" w:lastRow="0" w:firstColumn="1" w:lastColumn="0" w:oddVBand="0" w:evenVBand="0" w:oddHBand="0" w:evenHBand="0" w:firstRowFirstColumn="0" w:firstRowLastColumn="0" w:lastRowFirstColumn="0" w:lastRowLastColumn="0"/>
            <w:tcW w:w="1966" w:type="dxa"/>
            <w:vMerge/>
            <w:hideMark/>
          </w:tcPr>
          <w:p w14:paraId="596509A6" w14:textId="77777777" w:rsidR="0000288B" w:rsidRPr="00185EDD" w:rsidRDefault="0000288B" w:rsidP="0086054E">
            <w:pPr>
              <w:keepNext/>
              <w:rPr>
                <w:sz w:val="20"/>
                <w:szCs w:val="20"/>
                <w:lang w:eastAsia="en-GB"/>
              </w:rPr>
            </w:pPr>
          </w:p>
        </w:tc>
        <w:tc>
          <w:tcPr>
            <w:tcW w:w="869" w:type="dxa"/>
            <w:hideMark/>
          </w:tcPr>
          <w:p w14:paraId="1430073D"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podíl</w:t>
            </w:r>
          </w:p>
        </w:tc>
        <w:tc>
          <w:tcPr>
            <w:tcW w:w="1247" w:type="dxa"/>
            <w:hideMark/>
          </w:tcPr>
          <w:p w14:paraId="11927226"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100,0 %</w:t>
            </w:r>
          </w:p>
        </w:tc>
        <w:tc>
          <w:tcPr>
            <w:tcW w:w="1247" w:type="dxa"/>
            <w:hideMark/>
          </w:tcPr>
          <w:p w14:paraId="3A31DE1E"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96,7 %</w:t>
            </w:r>
          </w:p>
        </w:tc>
        <w:tc>
          <w:tcPr>
            <w:tcW w:w="1247" w:type="dxa"/>
            <w:hideMark/>
          </w:tcPr>
          <w:p w14:paraId="2622F539"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100,0 %</w:t>
            </w:r>
          </w:p>
        </w:tc>
        <w:tc>
          <w:tcPr>
            <w:tcW w:w="1247" w:type="dxa"/>
            <w:hideMark/>
          </w:tcPr>
          <w:p w14:paraId="26265AC2"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100,0 %</w:t>
            </w:r>
          </w:p>
        </w:tc>
        <w:tc>
          <w:tcPr>
            <w:tcW w:w="1247" w:type="dxa"/>
            <w:hideMark/>
          </w:tcPr>
          <w:p w14:paraId="28749028" w14:textId="77777777" w:rsidR="0000288B" w:rsidRPr="00185EDD" w:rsidRDefault="0000288B" w:rsidP="00A62FC4">
            <w:pPr>
              <w:keepNext/>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185EDD">
              <w:rPr>
                <w:sz w:val="20"/>
                <w:szCs w:val="20"/>
              </w:rPr>
              <w:t>100,0 %</w:t>
            </w:r>
          </w:p>
        </w:tc>
      </w:tr>
    </w:tbl>
    <w:p w14:paraId="7BB97A22" w14:textId="77777777" w:rsidR="0000288B" w:rsidRPr="00892DB5" w:rsidRDefault="0000288B" w:rsidP="0000288B">
      <w:pPr>
        <w:pStyle w:val="Zdroj"/>
        <w:keepNext/>
        <w:spacing w:after="0"/>
      </w:pPr>
      <w:r w:rsidRPr="00892DB5">
        <w:t>1) Střední vzdělání s výučním listem; rok 2007 Učební obory</w:t>
      </w:r>
    </w:p>
    <w:p w14:paraId="158F64DD" w14:textId="77777777" w:rsidR="0000288B" w:rsidRPr="00892DB5" w:rsidRDefault="0000288B" w:rsidP="0000288B">
      <w:pPr>
        <w:pStyle w:val="Zdroj"/>
        <w:keepNext/>
        <w:spacing w:after="0"/>
      </w:pPr>
      <w:r w:rsidRPr="00892DB5">
        <w:t>2) Střední vzdělání s maturitní zkouškou, vyšší odborné a vysokoškolské vzdělání; rok 2007 Střední s maturitou + Vyšší a vysokoškolské</w:t>
      </w:r>
    </w:p>
    <w:p w14:paraId="391D252A" w14:textId="77777777" w:rsidR="0000288B" w:rsidRPr="00892DB5" w:rsidRDefault="0000288B" w:rsidP="0000288B">
      <w:pPr>
        <w:pStyle w:val="Zdroj"/>
        <w:keepNext/>
        <w:spacing w:after="0"/>
      </w:pPr>
      <w:r w:rsidRPr="00892DB5">
        <w:t>Pozn.: V letech 2007 tvoří zbytek do 100 % rekvalifikace</w:t>
      </w:r>
    </w:p>
    <w:p w14:paraId="282ADCF2" w14:textId="70FBBE5A" w:rsidR="0000288B" w:rsidRPr="003B0485" w:rsidRDefault="0000288B" w:rsidP="003B0485">
      <w:pPr>
        <w:pStyle w:val="Zdroj"/>
      </w:pPr>
      <w:r w:rsidRPr="003B0485">
        <w:t>Zdroj: EUROSTAT - Agricultural training of farm managers: number of farms, agricultural area, labour force, standard output (SO) and livestock (LSU) by economic size of farm (SO in Euro) [ef_mptrainecs] (2016) ČSÚ – Agrocenzus 2010; ČSÚ – Strukturální šetření v zemědělství ČR 2007, 2013, 2016</w:t>
      </w:r>
    </w:p>
    <w:p w14:paraId="0F6B0749" w14:textId="0130A059" w:rsidR="0000288B" w:rsidRPr="00892DB5" w:rsidRDefault="0000288B" w:rsidP="00A62FC4">
      <w:pPr>
        <w:pStyle w:val="Nadpis2"/>
      </w:pPr>
      <w:bookmarkStart w:id="74" w:name="_Toc80347832"/>
      <w:bookmarkStart w:id="75" w:name="_Toc81752195"/>
      <w:r w:rsidRPr="00892DB5">
        <w:t>Podniková struktura zemědělství</w:t>
      </w:r>
      <w:bookmarkEnd w:id="74"/>
      <w:bookmarkEnd w:id="75"/>
      <w:r w:rsidRPr="00892DB5">
        <w:t xml:space="preserve"> </w:t>
      </w:r>
    </w:p>
    <w:p w14:paraId="1803270E" w14:textId="77777777" w:rsidR="0000288B" w:rsidRPr="00892DB5" w:rsidRDefault="0000288B" w:rsidP="003B0485">
      <w:pPr>
        <w:pStyle w:val="UZEINormaln"/>
      </w:pPr>
      <w:r w:rsidRPr="00892DB5">
        <w:t>Podniková struktura zemědělství v České republice je specifická tím, že většinu zemědělské půdy obhospodařují obchodní korporace Většina půdy je tak užívána malým počtem velkých zemědělských podniků. I z tohoto důvodu je obtížné pro mladé zemědělce zahájit činnost. Převážnou část zemědělského půdního fondu (ZPF) vlastní fyzické osoby a menší část ZPF vlastní různé typy soukromých společností a sdružení (přibližně 313 tis. ha) a stát (přibližně 177 tis. ha). Dle ČSÚ bylo v roce 2016 v ČR necelých 3,5 mil. ha zemědělské půdy (podle ČÚZK  4,2 mil. ha). Z toho 30,1 % půdy bylo obhospodařováno fyzickými osobami, které představují 88,2% podíl na počtu ze všech právních forem. Naopak z hlediska počtu je právnických osob méně (11,8 % ze všech zemědělských subjektů), ale obhospodařují 69,9 % zemědělské půdy. Průměrná výměra podniku FO je také mnohem nižší (44,5 ha) než výměra podniku PO (773,8 ha). Více než 74 % zemědělské půdy je pronajímáno.</w:t>
      </w:r>
    </w:p>
    <w:p w14:paraId="5EF38FAC" w14:textId="16053056" w:rsidR="002D33D2" w:rsidRPr="00892DB5" w:rsidRDefault="0000288B" w:rsidP="003B0485">
      <w:pPr>
        <w:pStyle w:val="UZEINormaln"/>
      </w:pPr>
      <w:r w:rsidRPr="00892DB5">
        <w:t>Rovněž struktura rodinných farem je v ČR specifická. Rodinné farmy jsou orientačně vymezeny jako zemědělské podniky fyzických osob, kde podíl práce najatých pracovníků nepřevyšuje podíl práce rodinných příslušníků. Takové podniky obhospodařují zhruba 30 % zemědělské půdy ČR. Podle Zemědělského registru Českého statistického úřadu ke konci roku 2014 tato skupina podniků zahrnuje více než 25 800 subjektů (tj. 96,3 % z celkového počtu sledovaných subjektů). Jde o farmy bez zemědělské půdy (zaměřené tedy převážně na živočišnou výrobu) až po farmy s výměrou zemědělské půdy v řádu stovek až tisíců hektarů. Právně se jedná o zemědělské podnikatele – fyzické osoby evidované dle Zákona č. 252/1997 Sb., o zemědělství. Avšak i některé farmy, zřízené jako společnosti s ručením omezeným, mají charakter rodinných farem.</w:t>
      </w:r>
    </w:p>
    <w:p w14:paraId="601C0704" w14:textId="77777777" w:rsidR="002D33D2" w:rsidRPr="00892DB5" w:rsidRDefault="002D33D2" w:rsidP="002D33D2">
      <w:pPr>
        <w:rPr>
          <w:lang w:val="cs-CZ"/>
        </w:rPr>
      </w:pPr>
    </w:p>
    <w:p w14:paraId="708B6784" w14:textId="77777777" w:rsidR="006752D6" w:rsidRDefault="006752D6">
      <w:pPr>
        <w:spacing w:after="160" w:line="259" w:lineRule="auto"/>
        <w:jc w:val="left"/>
        <w:rPr>
          <w:rFonts w:eastAsiaTheme="majorEastAsia" w:cs="Times New Roman"/>
          <w:b/>
          <w:bCs/>
          <w:sz w:val="32"/>
          <w:szCs w:val="32"/>
          <w:lang w:val="cs-CZ"/>
        </w:rPr>
      </w:pPr>
      <w:r>
        <w:br w:type="page"/>
      </w:r>
    </w:p>
    <w:p w14:paraId="685EA36F" w14:textId="5793C02C" w:rsidR="002D33D2" w:rsidRPr="00892DB5" w:rsidRDefault="002D33D2" w:rsidP="006752D6">
      <w:pPr>
        <w:pStyle w:val="Nadpis1"/>
      </w:pPr>
      <w:bookmarkStart w:id="76" w:name="_Toc81752196"/>
      <w:r w:rsidRPr="00892DB5">
        <w:lastRenderedPageBreak/>
        <w:t>Existence / neexistence možnosti efektivního řešení v rámci nástrojů SZP, které lze uvažovat v nových návrzích SZP</w:t>
      </w:r>
      <w:bookmarkEnd w:id="76"/>
    </w:p>
    <w:p w14:paraId="40DB9BA4" w14:textId="77777777" w:rsidR="002D33D2" w:rsidRPr="00892DB5" w:rsidRDefault="002D33D2" w:rsidP="003B0485">
      <w:pPr>
        <w:pStyle w:val="UZEINormaln"/>
      </w:pPr>
      <w:r w:rsidRPr="00892DB5">
        <w:t>Primárně je nutné poznamenat, že vymezený problém není plně zapříčiněn skutečnostmi, které jsou zcela řešitelné nástroji SZP. Ty je mohou – za předpokladu vhodného cílení – v dílčích oblastech redukovat. Nabízí se níže uvedené možnosti podpory generační obměny. Doporučení, která opatření k řešení vybraných problémů využít:</w:t>
      </w:r>
    </w:p>
    <w:p w14:paraId="43EEBA78" w14:textId="77777777" w:rsidR="002D33D2" w:rsidRPr="00892DB5" w:rsidRDefault="002D33D2" w:rsidP="003B0485">
      <w:pPr>
        <w:pStyle w:val="UZEIOdrky"/>
      </w:pPr>
      <w:r w:rsidRPr="00892DB5">
        <w:t>grantová podpora na zahájení činnosti mladého zemědělce,</w:t>
      </w:r>
    </w:p>
    <w:p w14:paraId="650FBABA" w14:textId="77777777" w:rsidR="002D33D2" w:rsidRPr="00892DB5" w:rsidRDefault="002D33D2" w:rsidP="003B0485">
      <w:pPr>
        <w:pStyle w:val="UZEIOdrky"/>
      </w:pPr>
      <w:r w:rsidRPr="00892DB5">
        <w:t>doplňková podpora příjmu pro mladé zemědělce,</w:t>
      </w:r>
    </w:p>
    <w:p w14:paraId="277B5C6B" w14:textId="77777777" w:rsidR="002D33D2" w:rsidRPr="00892DB5" w:rsidRDefault="002D33D2" w:rsidP="003B0485">
      <w:pPr>
        <w:pStyle w:val="UZEIOdrky"/>
      </w:pPr>
      <w:r w:rsidRPr="00892DB5">
        <w:t>grantová podpora v kombinaci s finančními nástroji,</w:t>
      </w:r>
    </w:p>
    <w:p w14:paraId="42954F76" w14:textId="77777777" w:rsidR="002D33D2" w:rsidRPr="00892DB5" w:rsidRDefault="002D33D2" w:rsidP="003B0485">
      <w:pPr>
        <w:pStyle w:val="UZEIOdrky"/>
      </w:pPr>
      <w:r w:rsidRPr="00892DB5">
        <w:t>nástroje Evropské investiční banky,</w:t>
      </w:r>
    </w:p>
    <w:p w14:paraId="75162C7E" w14:textId="77777777" w:rsidR="002D33D2" w:rsidRPr="00892DB5" w:rsidRDefault="002D33D2" w:rsidP="003B0485">
      <w:pPr>
        <w:pStyle w:val="UZEIOdrky"/>
      </w:pPr>
      <w:r w:rsidRPr="00892DB5">
        <w:t>motivování studentů zemědělských škol stážemi / praxí v zemědělských podnicích,</w:t>
      </w:r>
    </w:p>
    <w:p w14:paraId="6EB5DAAD" w14:textId="77777777" w:rsidR="002D33D2" w:rsidRPr="00892DB5" w:rsidRDefault="002D33D2" w:rsidP="003B0485">
      <w:pPr>
        <w:pStyle w:val="UZEIOdrky"/>
      </w:pPr>
      <w:r w:rsidRPr="00892DB5">
        <w:t>stimulace získávání absolventů zemědělských oborů poskytováním náborových příspěvků,</w:t>
      </w:r>
    </w:p>
    <w:p w14:paraId="12F014EC" w14:textId="41ED0A62" w:rsidR="002D33D2" w:rsidRPr="003B0485" w:rsidRDefault="002D33D2" w:rsidP="002D33D2">
      <w:pPr>
        <w:pStyle w:val="UZEIOdrky"/>
      </w:pPr>
      <w:r w:rsidRPr="00892DB5">
        <w:t>vytváření příznivého obrazu zemědělství v očích veřejnosti.</w:t>
      </w:r>
    </w:p>
    <w:p w14:paraId="1F5F6253" w14:textId="3908C20C" w:rsidR="002D33D2" w:rsidRPr="00892DB5" w:rsidRDefault="002D33D2" w:rsidP="003B0485">
      <w:pPr>
        <w:pStyle w:val="Nadpis2"/>
      </w:pPr>
      <w:bookmarkStart w:id="77" w:name="_Toc44409224"/>
      <w:bookmarkStart w:id="78" w:name="_Toc80347860"/>
      <w:bookmarkStart w:id="79" w:name="_Toc81752197"/>
      <w:r w:rsidRPr="00892DB5">
        <w:t>Grantová podpora na zahájení činnosti mladého zemědělce</w:t>
      </w:r>
      <w:bookmarkEnd w:id="77"/>
      <w:bookmarkEnd w:id="78"/>
      <w:bookmarkEnd w:id="79"/>
    </w:p>
    <w:p w14:paraId="294BD3A9" w14:textId="77777777" w:rsidR="002D33D2" w:rsidRPr="00892DB5" w:rsidRDefault="002D33D2" w:rsidP="003B0485">
      <w:pPr>
        <w:pStyle w:val="UZEINormaln"/>
      </w:pPr>
      <w:r w:rsidRPr="00892DB5">
        <w:t xml:space="preserve">Vzhledem k tomu, že z dostupných analýz vyplývá (viz např. Davis (2013)), že mladší vedoucí farem mají větší schopnosti přijmout a osvojit si nové technologie a praktiky, a zároveň tíhnou k ekologicky šetrnějšímu obhospodařování půdy, a zároveň také ve většině případů disponují vyšším vzděláním (často s odbornou specializací), doporučujeme </w:t>
      </w:r>
      <w:r w:rsidRPr="00892DB5">
        <w:rPr>
          <w:bCs/>
        </w:rPr>
        <w:t>pokračovat v</w:t>
      </w:r>
      <w:r w:rsidRPr="00892DB5">
        <w:rPr>
          <w:b/>
        </w:rPr>
        <w:t> podpoře zahájení činnosti mladých zemědělců</w:t>
      </w:r>
      <w:r w:rsidRPr="00892DB5">
        <w:t>. Předpokladem většího efektu podpory je nastavení takových podmínek, aby nedocházelo k obcházení cíle opatření a byly podporovány životaschopné farmy, jejichž vedení převzal mladý zemědělec. Podle zjištění ex-post hodnotitelů Ekotoxa a IREAS (2016) opatření podpořilo mladé zemědělce, kteří byli schopni s podporou dosáhnout významně většího navýšení hrubé přidané hodnoty (HPH), než tomu bylo v odpovídajícím odvětví (potravinářství i zemědělství), a tak je možné konstatovat, že podpořené farmy byly skutečně životaschopné. To bylo podpořeno i tím, že pro vstup do opatření byla stanovena minimální hranice standardní produkce, která by zajistila aspoň minimální úroveň příjmu pro vlastníka. Na druhou stranu ale to, že je tato velikost požadovaná před zahájením činnosti „může vést k tomu, že opatření nebude primárně sloužit k podpoře zahájení činnosti, ale že bude spíše plnit funkci rozvoje již existujících podniků, nebo těch, které jsou právě přebírány v rámci generační obměny. Tento typ podpory je však zajišťován opatřením 121 – Modernizace zemědělských podniků. Bylo by tedy vhodné snížit požadovaný velikostní limit tak, aby žadatel zajistil generování dostatečného příjmu do 2-4 let po zahájení činnosti.“ (Ekotoxa a IREAS, 2016).</w:t>
      </w:r>
    </w:p>
    <w:p w14:paraId="5D03B523" w14:textId="2F0F3927" w:rsidR="002D33D2" w:rsidRDefault="002D33D2" w:rsidP="003B0485">
      <w:pPr>
        <w:pStyle w:val="UZEINormaln"/>
      </w:pPr>
      <w:r w:rsidRPr="00892DB5">
        <w:t xml:space="preserve">Rovněž je vhodné, že se výplata bude realizovat najednou a nezatíží se tak cash-flow mladého zemědělce tím, že by musel získat z vlastních zdrojů poměrně velké množství peněz dříve, než bude moci investovat. Podle článku 69 </w:t>
      </w:r>
      <w:r w:rsidRPr="00892DB5">
        <w:rPr>
          <w:i/>
        </w:rPr>
        <w:t>Nařízení</w:t>
      </w:r>
      <w:r w:rsidRPr="00892DB5">
        <w:t xml:space="preserve"> bude podpora udělována formou jednorázové výplaty celé částky dotace. Podpora je omezena maximální částkou 100 000 EUR a lze ji kombinovat s finančními nástroji. Podniky mohou využívat i </w:t>
      </w:r>
      <w:r w:rsidRPr="00892DB5">
        <w:rPr>
          <w:b/>
          <w:bCs/>
        </w:rPr>
        <w:t>ostatní investiční opatření</w:t>
      </w:r>
      <w:r w:rsidRPr="00892DB5">
        <w:t xml:space="preserve"> sloužící k jejich rozvoji – například až čtvrtina žadatelů aspoň jednou získala také podporu z opatření PRV Modernizace zemědělských podniků.</w:t>
      </w:r>
    </w:p>
    <w:p w14:paraId="76104CEE" w14:textId="77777777" w:rsidR="006752D6" w:rsidRPr="00892DB5" w:rsidRDefault="006752D6" w:rsidP="002D33D2">
      <w:pPr>
        <w:rPr>
          <w:lang w:val="cs-CZ"/>
        </w:rPr>
      </w:pPr>
    </w:p>
    <w:p w14:paraId="7224D35B" w14:textId="5DB8573F" w:rsidR="002D33D2" w:rsidRPr="00F0724C" w:rsidRDefault="002D33D2" w:rsidP="00F0724C">
      <w:pPr>
        <w:pStyle w:val="Nadpis2"/>
      </w:pPr>
      <w:bookmarkStart w:id="80" w:name="_Toc44409225"/>
      <w:bookmarkStart w:id="81" w:name="_Toc80347861"/>
      <w:bookmarkStart w:id="82" w:name="_Toc81752198"/>
      <w:r w:rsidRPr="00F0724C">
        <w:lastRenderedPageBreak/>
        <w:t>Doplňková podpora příjmu pro mladé zemědělce</w:t>
      </w:r>
      <w:bookmarkEnd w:id="80"/>
      <w:bookmarkEnd w:id="81"/>
      <w:bookmarkEnd w:id="82"/>
      <w:r w:rsidR="004839C3" w:rsidRPr="00F0724C">
        <w:t xml:space="preserve"> </w:t>
      </w:r>
    </w:p>
    <w:p w14:paraId="09CD3CC7" w14:textId="77777777" w:rsidR="002D33D2" w:rsidRPr="00892DB5" w:rsidRDefault="002D33D2" w:rsidP="003D3D8C">
      <w:pPr>
        <w:pStyle w:val="UZEINormaln"/>
        <w:rPr>
          <w:noProof/>
        </w:rPr>
      </w:pPr>
      <w:r w:rsidRPr="00892DB5">
        <w:t xml:space="preserve">Podle článku 14 </w:t>
      </w:r>
      <w:r w:rsidRPr="00892DB5">
        <w:rPr>
          <w:i/>
        </w:rPr>
        <w:t>Nařízení</w:t>
      </w:r>
      <w:r w:rsidRPr="00892DB5">
        <w:t xml:space="preserve"> patří mezi přímé platby oddělené od produkce i </w:t>
      </w:r>
      <w:r w:rsidRPr="00892DB5">
        <w:rPr>
          <w:b/>
          <w:bCs/>
          <w:noProof/>
        </w:rPr>
        <w:t>doplňková podpora příjmu pro mladé zemědělce</w:t>
      </w:r>
      <w:r w:rsidRPr="00892DB5">
        <w:rPr>
          <w:noProof/>
        </w:rPr>
        <w:t xml:space="preserve">, na kterou by členské státy měly dle odstavce (43) preambule Nařízení vyčlenit částku odpovídající alespoň 2% krytí ročních přímých plateb. Dále by členské státy měly stanovit ve svých strategických plánech SZP preferenční podmínky finančních nástrojů pro mladé zemědělce a nováčky. Pokud by stát poskytoval základní podporu příjmu na základě platebních nároků, musí spravovat vnitrostátní rezervu, která je přednostně využita k přidělování platebních nároků podle článku 22 </w:t>
      </w:r>
      <w:r w:rsidRPr="00892DB5">
        <w:rPr>
          <w:i/>
          <w:noProof/>
        </w:rPr>
        <w:t>Nařízení</w:t>
      </w:r>
      <w:r w:rsidRPr="00892DB5">
        <w:rPr>
          <w:noProof/>
        </w:rPr>
        <w:t xml:space="preserve"> těmto zemědělcům:</w:t>
      </w:r>
    </w:p>
    <w:p w14:paraId="21A1555E" w14:textId="77777777" w:rsidR="002D33D2" w:rsidRPr="00892DB5" w:rsidRDefault="002D33D2" w:rsidP="002D33D2">
      <w:pPr>
        <w:pStyle w:val="Point1"/>
        <w:tabs>
          <w:tab w:val="left" w:pos="8505"/>
        </w:tabs>
        <w:ind w:right="567"/>
        <w:rPr>
          <w:i/>
          <w:noProof/>
        </w:rPr>
      </w:pPr>
      <w:r w:rsidRPr="00892DB5">
        <w:rPr>
          <w:i/>
          <w:noProof/>
        </w:rPr>
        <w:t>a)</w:t>
      </w:r>
      <w:r w:rsidRPr="00892DB5">
        <w:rPr>
          <w:i/>
          <w:noProof/>
        </w:rPr>
        <w:tab/>
        <w:t xml:space="preserve">mladým zemědělcům, kteří poprvé založili nový zemědělský podnik; </w:t>
      </w:r>
    </w:p>
    <w:p w14:paraId="4554BE08" w14:textId="77777777" w:rsidR="002D33D2" w:rsidRPr="00892DB5" w:rsidRDefault="002D33D2" w:rsidP="002D33D2">
      <w:pPr>
        <w:pStyle w:val="Point1"/>
        <w:tabs>
          <w:tab w:val="left" w:pos="8505"/>
        </w:tabs>
        <w:ind w:right="567"/>
        <w:rPr>
          <w:i/>
          <w:noProof/>
        </w:rPr>
      </w:pPr>
      <w:r w:rsidRPr="00892DB5">
        <w:rPr>
          <w:i/>
          <w:noProof/>
        </w:rPr>
        <w:t>b)</w:t>
      </w:r>
      <w:r w:rsidRPr="00892DB5">
        <w:rPr>
          <w:i/>
          <w:noProof/>
        </w:rPr>
        <w:tab/>
        <w:t>zemědělcům, kteří poprvé založili nový zemědělský podnik jako vedoucí tohoto podniku a mají vhodnou odbornou přípravu nebo získali nezbytné dovednosti, jež členské státy pro mladé zemědělce stanovily.</w:t>
      </w:r>
    </w:p>
    <w:p w14:paraId="5F0B0C4D" w14:textId="77777777" w:rsidR="002D33D2" w:rsidRPr="00892DB5" w:rsidRDefault="002D33D2" w:rsidP="003D3D8C">
      <w:pPr>
        <w:pStyle w:val="UZEINormaln"/>
      </w:pPr>
      <w:r w:rsidRPr="00892DB5">
        <w:t xml:space="preserve">Článek 27 </w:t>
      </w:r>
      <w:r w:rsidRPr="00892DB5">
        <w:rPr>
          <w:i/>
        </w:rPr>
        <w:t xml:space="preserve">Nařízení </w:t>
      </w:r>
      <w:r w:rsidRPr="00892DB5">
        <w:rPr>
          <w:iCs/>
        </w:rPr>
        <w:t xml:space="preserve">pak </w:t>
      </w:r>
      <w:r w:rsidRPr="00892DB5">
        <w:t xml:space="preserve">definuje podmínky pro poskytnutí doplňkové podpory příjmu pro mladé zemědělce. Tato podpora má podobu roční platby oddělené od produkce na způsobilý hektar pro nově založený zemědělský podnik, který má nárok na platbu v rámci základní podpory příjmu podle článku 17 </w:t>
      </w:r>
      <w:r w:rsidRPr="00892DB5">
        <w:rPr>
          <w:i/>
        </w:rPr>
        <w:t>Nařízení</w:t>
      </w:r>
      <w:r w:rsidRPr="00892DB5">
        <w:t>.</w:t>
      </w:r>
    </w:p>
    <w:p w14:paraId="2187F5A5" w14:textId="2B990F93" w:rsidR="006752D6" w:rsidRPr="00892DB5" w:rsidRDefault="002D33D2" w:rsidP="00AA593D">
      <w:pPr>
        <w:pStyle w:val="UZEINormaln"/>
      </w:pPr>
      <w:r w:rsidRPr="00892DB5">
        <w:t>Význam této podpory pro generační obměnu není přímo prokazatelný. Jedná se o možnost zvýšení příjmů zemědělců, která může přispět k vyšší motivaci starších předávat své hospodaření mladším, podpořit stabilizaci příjmů podpořených podniků či zvýšit dynamiku růstu jejich výměry. Její primární funkcí se stabilizovat příjmy podniků. Rozhodnutí o jejím zavedení je podloženo podrobnějšími analýzami v příslušné části Strategického plánu SZP.</w:t>
      </w:r>
    </w:p>
    <w:p w14:paraId="4E36B53E" w14:textId="0BB5E0AC" w:rsidR="002D33D2" w:rsidRPr="00892DB5" w:rsidRDefault="002D33D2" w:rsidP="00AA593D">
      <w:pPr>
        <w:pStyle w:val="Nadpis2"/>
      </w:pPr>
      <w:bookmarkStart w:id="83" w:name="_Toc44409226"/>
      <w:bookmarkStart w:id="84" w:name="_Toc80347862"/>
      <w:bookmarkStart w:id="85" w:name="_Toc81752199"/>
      <w:r w:rsidRPr="00892DB5">
        <w:t>Grantová podpora v kombinaci s finančními nástroji</w:t>
      </w:r>
      <w:bookmarkEnd w:id="83"/>
      <w:bookmarkEnd w:id="84"/>
      <w:bookmarkEnd w:id="85"/>
    </w:p>
    <w:p w14:paraId="23D3DFE5" w14:textId="77777777" w:rsidR="002D33D2" w:rsidRPr="00892DB5" w:rsidRDefault="002D33D2" w:rsidP="00AA593D">
      <w:pPr>
        <w:pStyle w:val="UZEINormaln"/>
      </w:pPr>
      <w:r w:rsidRPr="00892DB5">
        <w:t xml:space="preserve">V následujícím programovém období se nabízí také možnost </w:t>
      </w:r>
      <w:r w:rsidRPr="00892DB5">
        <w:rPr>
          <w:b/>
        </w:rPr>
        <w:t>kombinovat podpory na zahájení</w:t>
      </w:r>
      <w:r w:rsidRPr="00892DB5">
        <w:t xml:space="preserve"> činnosti pro mladé zemědělce i </w:t>
      </w:r>
      <w:r w:rsidRPr="00892DB5">
        <w:rPr>
          <w:b/>
        </w:rPr>
        <w:t>s finančními nástroji</w:t>
      </w:r>
      <w:r w:rsidRPr="00892DB5">
        <w:t xml:space="preserve"> (FN) nebo s dotacemi poskytovanými PGRLF na investice v rámci režimu </w:t>
      </w:r>
      <w:r w:rsidRPr="00892DB5">
        <w:rPr>
          <w:i/>
        </w:rPr>
        <w:t>de-minimis</w:t>
      </w:r>
      <w:r w:rsidRPr="00892DB5">
        <w:t>. Podle odstavce (42) preambule Nařízení by členské státy měly podporovat využívání záruky InvestEU a kombinace grantů a finančních nástrojů:</w:t>
      </w:r>
    </w:p>
    <w:p w14:paraId="12411BE7" w14:textId="77777777" w:rsidR="002D33D2" w:rsidRPr="00892DB5" w:rsidRDefault="002D33D2" w:rsidP="002D33D2">
      <w:pPr>
        <w:ind w:left="708" w:right="567"/>
        <w:rPr>
          <w:i/>
          <w:lang w:val="cs-CZ"/>
        </w:rPr>
      </w:pPr>
      <w:r w:rsidRPr="00892DB5">
        <w:rPr>
          <w:i/>
          <w:lang w:val="cs-CZ"/>
        </w:rPr>
        <w:t>S ohledem na potřebu zaplnění investiční mezery v unijním zemědělském odvětví a potřebu zlepšit prioritním skupinám, obzvláště pak mladým zemědělcům a nováčkům s rizikovějším profilem, přístup k finančním nástrojům by měly být podporovány využívání záruky InvestEU a kombinace grantů a finančních nástrojů. Protože se finanční nástroje v jednotlivých členských státech výrazně liší v důsledku odlišného přístupu k financím, rozvoji bankovního sektoru, přítomnosti rizikového kapitálu, obeznámenosti s veřejnou administrativou a potenciální škálou příjemců, měly by členské státy ve strategickém plánu SZP stanovit vhodné cíle, příjemce a preferenční podmínky a další možná pravidla způsobilosti.</w:t>
      </w:r>
    </w:p>
    <w:p w14:paraId="66D819DF" w14:textId="77777777" w:rsidR="002D33D2" w:rsidRPr="00892DB5" w:rsidRDefault="002D33D2" w:rsidP="00AA593D">
      <w:pPr>
        <w:pStyle w:val="UZEINormaln"/>
      </w:pPr>
      <w:r w:rsidRPr="00892DB5">
        <w:t xml:space="preserve">v rámci kterých bude možné mimo jiné financovat i nákup pozemků mladými zemědělci za využití finančních nástrojů (článek 68, odstavec 3, bod c) </w:t>
      </w:r>
      <w:r w:rsidRPr="00892DB5">
        <w:rPr>
          <w:i/>
        </w:rPr>
        <w:t>Nařízení</w:t>
      </w:r>
      <w:r w:rsidRPr="00892DB5">
        <w:t xml:space="preserve">), což může napomoci mladým zemědělcům zmírnit stávající problémy s nákupem půdy. </w:t>
      </w:r>
    </w:p>
    <w:p w14:paraId="085244B5" w14:textId="35D04214" w:rsidR="006752D6" w:rsidRPr="00892DB5" w:rsidRDefault="002D33D2" w:rsidP="00AA593D">
      <w:pPr>
        <w:pStyle w:val="UZEINormaln"/>
      </w:pPr>
      <w:r w:rsidRPr="00892DB5">
        <w:t xml:space="preserve">Podle ex-ante hodnocení finančních nástrojů (Haskoning DHV, 2019) se doporučuje kombinace dotace a FN pro začínající zemědělce, přičemž z FN se jedná o a) poskytnutí garance a b) zvýhodněný úvěr. Finance navrhuje hodnotitel kombinovat v poměru 1:1 (např. zvýšení úrovně dotace ze současných 45 000 EUR na 50 000 EUR a FN do výše 50 000 EUR). Při cílové skupině 1400 žadatelů by alokace činila zhruba 1,5 – 1,8 mld. Kč. Podle průměrné </w:t>
      </w:r>
      <w:r w:rsidRPr="00892DB5">
        <w:lastRenderedPageBreak/>
        <w:t>výměry a ceny půdy stanovil hodnotitel celkovou alokaci FN pro mladé zemědělce na 2,1 – 2,4 mld. Kč. Na druhou stranu ale hodnotitel doporučuje částku snížit (dotační závislost v AGRI sektoru je značná, lze očekávat snížení celkových investic vlivem snížení dotací) na 1,5 – 2,1 mld. Kč. Avšak upřesnění parametrů a kombinace obou nástrojů bude předmětem konkrétního nastavení investiční strategie v závislosti na domluvě s vybraným správcem FN.</w:t>
      </w:r>
    </w:p>
    <w:p w14:paraId="4FDD90B0" w14:textId="678E46B7" w:rsidR="002D33D2" w:rsidRPr="00892DB5" w:rsidRDefault="002D33D2" w:rsidP="00AA593D">
      <w:pPr>
        <w:pStyle w:val="Nadpis2"/>
      </w:pPr>
      <w:bookmarkStart w:id="86" w:name="_Toc44409227"/>
      <w:bookmarkStart w:id="87" w:name="_Toc80347863"/>
      <w:bookmarkStart w:id="88" w:name="_Toc81752200"/>
      <w:r w:rsidRPr="00892DB5">
        <w:t>Nástroje Evropské investiční banky</w:t>
      </w:r>
      <w:bookmarkEnd w:id="86"/>
      <w:bookmarkEnd w:id="87"/>
      <w:bookmarkEnd w:id="88"/>
    </w:p>
    <w:p w14:paraId="020483F0" w14:textId="77777777" w:rsidR="002D33D2" w:rsidRPr="00892DB5" w:rsidRDefault="002D33D2" w:rsidP="00AA593D">
      <w:pPr>
        <w:pStyle w:val="UZEINormaln"/>
      </w:pPr>
      <w:bookmarkStart w:id="89" w:name="_Hlk522258592"/>
      <w:r w:rsidRPr="00892DB5">
        <w:rPr>
          <w:b/>
          <w:bCs/>
        </w:rPr>
        <w:t>Evropská investiční banka</w:t>
      </w:r>
      <w:r w:rsidRPr="00892DB5">
        <w:t xml:space="preserve"> (EIB) podporuje mladé zemědělce tím, že přispívá k zavedení finančních nástrojů v rámci EZFRV. Dále přímo poskytuje vlastní úvěrové a záruční nástroje a poradenskou podporu řídícím orgánům. Ze všech dostupných nástrojů EIB je možné v rámci EZFRV použít tyto dvě struktury:</w:t>
      </w:r>
      <w:r w:rsidRPr="00892DB5">
        <w:rPr>
          <w:rStyle w:val="Znakapoznpodarou"/>
        </w:rPr>
        <w:footnoteReference w:id="15"/>
      </w:r>
      <w:r w:rsidRPr="00892DB5">
        <w:t xml:space="preserve"> a) Podpora začínajících mladých zemědělců – půjčky na sdílení rizik, b) záruční nástroj. EIB nově zavedla program půjček v hodnotě 1 miliardy EUR, ze kterého se budou poskytovat půjčky prostřednictvím finančních zprostředkovatelů malým a středním podnikům (včetně zemědělců), přičemž mladí zemědělci budou mít v jedné jeho části prioritu. Očekává se, že spolu se spolufinancováním finančních zprostředkovatelů dojde k mobilizaci 2 miliardy EUR. EIB chce, aby řídící orgány EZFRV využily své zdroje EZFRV ke zvýšení dostupného balíčku financování a učinily ho ještě atraktivnějším pro zemědělce, a to s pomocí finančních nástrojů, jako jsou záruky, které mohou snížit ceny a požadavky na zajištění věřitelů. </w:t>
      </w:r>
    </w:p>
    <w:p w14:paraId="53A0A7AF" w14:textId="170CA3AE" w:rsidR="00E27551" w:rsidRPr="00892DB5" w:rsidRDefault="002D33D2" w:rsidP="00AA593D">
      <w:pPr>
        <w:pStyle w:val="UZEINormaln"/>
      </w:pPr>
      <w:r w:rsidRPr="00892DB5">
        <w:t>Minimálně 10 % má být poskytnuto právě mladým zemědělcům. Na úrovni členských států budou půjčky poskytovat banky a leasingové společnosti s celoevropskou působností. Program by měl nabídnout zejména úvěry s nižší úrokovou sazbou; prodloužením začátku splácení až na 5 let; prodloužením celkové doby splácení celého úvěru (až na 15 let) a dodatečnou flexibilitou, která má reagovat na kolísání cen v zemědělství tak, aby zemědělci byli schopní úvěr splácet i v náročných obdobích. (Haskoning DHV, 2019)</w:t>
      </w:r>
    </w:p>
    <w:p w14:paraId="5A2161A6" w14:textId="77777777" w:rsidR="002D33D2" w:rsidRPr="00892DB5" w:rsidRDefault="002D33D2" w:rsidP="00AA593D">
      <w:pPr>
        <w:pStyle w:val="Nadpis2"/>
      </w:pPr>
      <w:bookmarkStart w:id="90" w:name="_Toc44409228"/>
      <w:bookmarkStart w:id="91" w:name="_Toc80347864"/>
      <w:bookmarkStart w:id="92" w:name="_Toc81752201"/>
      <w:r w:rsidRPr="00892DB5">
        <w:t>Motivování studentů zemědělských škol stážemi / praxí v zemědělských podnicích</w:t>
      </w:r>
      <w:bookmarkEnd w:id="90"/>
      <w:bookmarkEnd w:id="91"/>
      <w:bookmarkEnd w:id="92"/>
    </w:p>
    <w:p w14:paraId="4DAC0BAB" w14:textId="77777777" w:rsidR="002D33D2" w:rsidRPr="00892DB5" w:rsidRDefault="002D33D2" w:rsidP="00AA593D">
      <w:pPr>
        <w:pStyle w:val="UZEINormaln"/>
      </w:pPr>
      <w:r w:rsidRPr="00892DB5">
        <w:t xml:space="preserve">Podpořit určité </w:t>
      </w:r>
      <w:r w:rsidRPr="00892DB5">
        <w:rPr>
          <w:b/>
          <w:bCs/>
        </w:rPr>
        <w:t>mezigenerační „nástupnictví“ v podnicích PO</w:t>
      </w:r>
      <w:r w:rsidRPr="00892DB5">
        <w:t xml:space="preserve"> je pro stabilizaci zemědělské výroby a zaměstnanosti vysoce žádoucí, a to nejen ve vrcholném managementu podniků. Tito zemědělci mají odpovídající vzdělání a zkušenosti, vazbu k zemědělským činnostem, půdě a životu na venkově. Manažeři a vedoucí v podnicích PO by také měli myslet na budoucnost podniku a „vychovat“ si následující generace, které by v zemědělské výrobě pokračovaly. Účinným pomocníkem mohou být </w:t>
      </w:r>
      <w:r w:rsidRPr="00892DB5">
        <w:rPr>
          <w:b/>
        </w:rPr>
        <w:t>praxe a stáže studentů</w:t>
      </w:r>
      <w:r w:rsidRPr="00892DB5">
        <w:t xml:space="preserve"> v zemědělských podnicích, ve skutečném provozu (ne pouze na školních statcích), iniciované především samotnými velkými zemědělskými podniky.</w:t>
      </w:r>
    </w:p>
    <w:p w14:paraId="5C4886AC" w14:textId="554DC156" w:rsidR="002D33D2" w:rsidRDefault="002D33D2" w:rsidP="00AA593D">
      <w:pPr>
        <w:pStyle w:val="UZEINormaln"/>
      </w:pPr>
      <w:r w:rsidRPr="00892DB5">
        <w:t xml:space="preserve">V rámci SZP (viz. článek 86, ods. 7 Nařízení) mohou členské státy ve svých strategických plánech rozhodnout o použiti určité částky příspěvku z EZFRV k financování akcí nadnárodní vzdělávací mobility osob v oblasti zemědělství a rozvoje venkova zaměřených na mladé zemědělce podle [nařízení o programu </w:t>
      </w:r>
      <w:r w:rsidRPr="00892DB5">
        <w:rPr>
          <w:b/>
        </w:rPr>
        <w:t>Erasmus</w:t>
      </w:r>
      <w:r w:rsidRPr="00892DB5">
        <w:t>], což může poskytnout mladým lidem nové zkušenosti a umožnit získat praxi v oboru.</w:t>
      </w:r>
    </w:p>
    <w:p w14:paraId="22FED523" w14:textId="77777777" w:rsidR="00E27551" w:rsidRPr="00892DB5" w:rsidRDefault="00E27551" w:rsidP="002D33D2">
      <w:pPr>
        <w:rPr>
          <w:lang w:val="cs-CZ"/>
        </w:rPr>
      </w:pPr>
    </w:p>
    <w:p w14:paraId="65634F5F" w14:textId="77777777" w:rsidR="002D33D2" w:rsidRPr="00892DB5" w:rsidRDefault="002D33D2" w:rsidP="00021744">
      <w:pPr>
        <w:pStyle w:val="Nadpis2"/>
      </w:pPr>
      <w:bookmarkStart w:id="93" w:name="_Toc44409229"/>
      <w:bookmarkStart w:id="94" w:name="_Toc80347865"/>
      <w:bookmarkStart w:id="95" w:name="_Toc81752202"/>
      <w:r w:rsidRPr="00892DB5">
        <w:lastRenderedPageBreak/>
        <w:t>Stimulace získávání absolventů zemědělských oborů poskytováním náborových příspěvků</w:t>
      </w:r>
      <w:bookmarkEnd w:id="93"/>
      <w:bookmarkEnd w:id="94"/>
      <w:bookmarkEnd w:id="95"/>
    </w:p>
    <w:p w14:paraId="7576E590" w14:textId="493E001C" w:rsidR="00E27551" w:rsidRPr="00892DB5" w:rsidRDefault="002D33D2" w:rsidP="00141692">
      <w:pPr>
        <w:pStyle w:val="UZEINormaln"/>
      </w:pPr>
      <w:r w:rsidRPr="00892DB5">
        <w:t xml:space="preserve">Problém generační obměny v zemědělství není rozhodně zcela řešitelný pouze nástroji SZP a podporou mladých manažerů zemědělských podniků. Obecně se zemědělství jako celek potýká s nedostatkem mladých kvalifikovaných pracovníků na různých pozicích (především odbornějšího charakteru – agronom, zootechnik, ekonom apod.). Zde lze navrhnout i jiná řešení, než je pouze podpora prostřednictvím investiční dotace na zahájení činnosti mladých zemědělských manažerů – například ve formě </w:t>
      </w:r>
      <w:r w:rsidRPr="00892DB5">
        <w:rPr>
          <w:b/>
        </w:rPr>
        <w:t>náborových příspěvků pro nové mladé pracovníky</w:t>
      </w:r>
      <w:r w:rsidRPr="00892DB5">
        <w:t>. Pokud jsou podniky kapitálově silné, mají i samy různé možnosti v podpoře generační obměny – nabídnutí majetkového podílu ve společnosti; zaměstnanecké benefity apod.</w:t>
      </w:r>
    </w:p>
    <w:p w14:paraId="58671D83" w14:textId="77777777" w:rsidR="002D33D2" w:rsidRPr="00892DB5" w:rsidRDefault="002D33D2" w:rsidP="00141692">
      <w:pPr>
        <w:pStyle w:val="Nadpis2"/>
      </w:pPr>
      <w:bookmarkStart w:id="96" w:name="_Toc44409230"/>
      <w:bookmarkStart w:id="97" w:name="_Toc80347866"/>
      <w:bookmarkStart w:id="98" w:name="_Toc81752203"/>
      <w:r w:rsidRPr="00892DB5">
        <w:t>Vytváření příznivého obrazu zemědělství v očích veřejnosti</w:t>
      </w:r>
      <w:bookmarkEnd w:id="96"/>
      <w:bookmarkEnd w:id="97"/>
      <w:bookmarkEnd w:id="98"/>
    </w:p>
    <w:bookmarkEnd w:id="89"/>
    <w:p w14:paraId="6FDBE028" w14:textId="680903AB" w:rsidR="00E27551" w:rsidRPr="00892DB5" w:rsidRDefault="002D33D2" w:rsidP="00141692">
      <w:pPr>
        <w:pStyle w:val="UZEINormaln"/>
      </w:pPr>
      <w:r w:rsidRPr="00892DB5">
        <w:t>Rezervy jsou dosud v </w:t>
      </w:r>
      <w:r w:rsidRPr="00892DB5">
        <w:rPr>
          <w:b/>
        </w:rPr>
        <w:t>propagaci zemědělství</w:t>
      </w:r>
      <w:r w:rsidRPr="00892DB5">
        <w:t xml:space="preserve"> jako prestižní činnosti, která zabezpečuje kvalitní potraviny nejen pro obyvatele ČR, udržuje krajinu a zaměstnanost na venkově a obecně plní celou řadu mimoprodukčních funkcí. </w:t>
      </w:r>
      <w:bookmarkStart w:id="99" w:name="_Hlk522257180"/>
      <w:r w:rsidRPr="00892DB5">
        <w:t>Zemědělství je vnímáno jako špatně placené a fyzicky náročné zaměstnání, i když díky robotizaci toto již do značné míry neplatí. Především odborné a kvalifikované práce v zemědělství jsou finančně oceněny. Prestiž zemědělství se snaží navracet svou činností různé nevládní organizace například prostřednictvím různých akcí „Poznej svého farmáře“, „Zemědělec roku“, „Zemědělství žije“, Oranžová stuha v rámci soutěže Vesnice roku apod. Přesto, že je vylepšení obrazu zemědělské činnosti mimo rámec SZP, určitě by zvýšení prestiže tohoto odvětví napomohlo i přirozené generační obměně.</w:t>
      </w:r>
      <w:bookmarkEnd w:id="99"/>
    </w:p>
    <w:p w14:paraId="73966C9F" w14:textId="0EF691DB" w:rsidR="002D33D2" w:rsidRPr="00892DB5" w:rsidRDefault="002D33D2" w:rsidP="00141692">
      <w:pPr>
        <w:pStyle w:val="Nadpis2"/>
      </w:pPr>
      <w:bookmarkStart w:id="100" w:name="_Toc44409231"/>
      <w:bookmarkStart w:id="101" w:name="_Toc80347867"/>
      <w:bookmarkStart w:id="102" w:name="_Toc81752204"/>
      <w:r w:rsidRPr="00892DB5">
        <w:t>Shrnutí</w:t>
      </w:r>
      <w:bookmarkEnd w:id="100"/>
      <w:bookmarkEnd w:id="101"/>
      <w:bookmarkEnd w:id="102"/>
    </w:p>
    <w:p w14:paraId="6CD21488" w14:textId="77777777" w:rsidR="002D33D2" w:rsidRPr="00892DB5" w:rsidRDefault="002D33D2" w:rsidP="00141692">
      <w:pPr>
        <w:pStyle w:val="UZEINormaln"/>
      </w:pPr>
      <w:r w:rsidRPr="00892DB5">
        <w:t xml:space="preserve">V rámci nové SZP existují možnosti v pokračování současné podpory mladých zemědělců formou doplňkové podpory příjmů v rámci přímých plateb a grantu na zahájení zemědělské činnosti. Jedná se o efektivní řešení problému generační obměny, ale jak vyplývá z výše uvedených analýz a především z Teorie změny, nemůže pouze podpora ze SZP pokrýt celou šíři problému. Existuje řada oblastí, které je potřeba řešit, ale které jsou mimo působnost SZP i mimo působnost zemědělské politiky jako takové. V Teorii změny byl identifikován problém nedostatku motivace mladých absolventů ke vstupu do odvětví z důvodu nedostatečného zájmu mladých absolventů o uplatnění v zemědělství, kdy je nutná změna obrazu zemědělství v myslích studentů. Zde se nabízí řešení pomocí propagační činnosti, podpory ZŠ a SŠ, aby pořádaly exkurze do zemědělských podniků, účastnily se různých zemědělských akcí apod. Dále je vhodné více spolupracovat s profesními organizacemi, které pořádají řadu akcí s potenciálem zlepšit obraz zemědělství. Další možností jsou různé zahraniční stáže na farmách, programy Erasmus apod. Obdobně jsou mimo SZP i nástroje pro zlepšení přístupu nových zemědělců k půdě formou například zvýhodněných nákupů půdy mladými zemědělci, pokud by se případně uvažovalo o jejich zavedení, což ale v dokumentu nedoporučujeme. </w:t>
      </w:r>
      <w:bookmarkStart w:id="103" w:name="_Hlk5183787"/>
      <w:r w:rsidRPr="00892DB5">
        <w:t>SZP tedy má potenciál efektivně řešit generační obměnu, ale je potřeba ji doplnit o další opatření na národní úrovni.</w:t>
      </w:r>
    </w:p>
    <w:bookmarkEnd w:id="103"/>
    <w:p w14:paraId="49359E0A" w14:textId="156E14CF" w:rsidR="002D33D2" w:rsidRPr="00892DB5" w:rsidRDefault="00141692" w:rsidP="00141692">
      <w:pPr>
        <w:spacing w:after="160" w:line="259" w:lineRule="auto"/>
        <w:jc w:val="left"/>
        <w:rPr>
          <w:lang w:val="cs-CZ"/>
        </w:rPr>
      </w:pPr>
      <w:r>
        <w:rPr>
          <w:lang w:val="cs-CZ"/>
        </w:rPr>
        <w:br w:type="page"/>
      </w:r>
    </w:p>
    <w:p w14:paraId="6A7DFA32" w14:textId="4DAF7E70" w:rsidR="00130FD1" w:rsidRPr="00892DB5" w:rsidRDefault="00130FD1" w:rsidP="006752D6">
      <w:pPr>
        <w:pStyle w:val="Nadpis1"/>
      </w:pPr>
      <w:bookmarkStart w:id="104" w:name="_Toc44409232"/>
      <w:bookmarkStart w:id="105" w:name="_Toc80347868"/>
      <w:bookmarkStart w:id="106" w:name="_Toc81752205"/>
      <w:r w:rsidRPr="00892DB5">
        <w:lastRenderedPageBreak/>
        <w:t>Míra stávajícího řešení problému</w:t>
      </w:r>
      <w:bookmarkEnd w:id="104"/>
      <w:bookmarkEnd w:id="105"/>
      <w:bookmarkEnd w:id="106"/>
    </w:p>
    <w:p w14:paraId="7DF44FEA" w14:textId="524C9487" w:rsidR="00130FD1" w:rsidRPr="00892DB5" w:rsidRDefault="00130FD1" w:rsidP="006752D6">
      <w:pPr>
        <w:pStyle w:val="Nadpis2"/>
      </w:pPr>
      <w:bookmarkStart w:id="107" w:name="_Toc44409233"/>
      <w:bookmarkStart w:id="108" w:name="_Toc80347869"/>
      <w:r w:rsidRPr="00892DB5">
        <w:t xml:space="preserve"> </w:t>
      </w:r>
      <w:bookmarkStart w:id="109" w:name="_Toc81752206"/>
      <w:r w:rsidRPr="00892DB5">
        <w:t>Míra řešení ve stávající SZP</w:t>
      </w:r>
      <w:bookmarkEnd w:id="107"/>
      <w:bookmarkEnd w:id="108"/>
      <w:bookmarkEnd w:id="109"/>
      <w:r w:rsidRPr="00892DB5">
        <w:t xml:space="preserve"> </w:t>
      </w:r>
    </w:p>
    <w:p w14:paraId="20AAB899" w14:textId="408D49D5" w:rsidR="00130FD1" w:rsidRPr="00892DB5" w:rsidRDefault="00130FD1" w:rsidP="00E27551">
      <w:pPr>
        <w:pStyle w:val="Nadpis3"/>
        <w:rPr>
          <w:lang w:val="cs-CZ"/>
        </w:rPr>
      </w:pPr>
      <w:bookmarkStart w:id="110" w:name="_Toc44409234"/>
      <w:bookmarkStart w:id="111" w:name="_Toc80347870"/>
      <w:bookmarkStart w:id="112" w:name="_Toc81752207"/>
      <w:r w:rsidRPr="00892DB5">
        <w:rPr>
          <w:lang w:val="cs-CZ"/>
        </w:rPr>
        <w:t>1. pilíř SZP – přímé platby</w:t>
      </w:r>
      <w:bookmarkEnd w:id="110"/>
      <w:bookmarkEnd w:id="111"/>
      <w:bookmarkEnd w:id="112"/>
    </w:p>
    <w:p w14:paraId="50789155" w14:textId="77777777" w:rsidR="00130FD1" w:rsidRPr="00892DB5" w:rsidRDefault="00130FD1" w:rsidP="005F13AA">
      <w:pPr>
        <w:pStyle w:val="UZEINormaln"/>
      </w:pPr>
      <w:r w:rsidRPr="00892DB5">
        <w:rPr>
          <w:b/>
          <w:bCs/>
        </w:rPr>
        <w:t>V programovém období 2014–2020</w:t>
      </w:r>
      <w:r w:rsidRPr="00892DB5">
        <w:t xml:space="preserve"> se přímé platby skládají ze sedmi částí, z nichž režim dodatečných plateb pro mladé zemědělce patří mezi povinné systémy a jeho cílem je podpořit generační obnovu. Cílem podpory je usnadnit založení zemědělského podniku a jeho rozvoj v počátečních letech podnikání. Poskytuje se ve formě 25% navýšení k Jednotné platbě na plochu (SAPS) – základní platby (hodnoty platebních nároků) na prvních 90 hektarů všem mladým zemědělcům (do 40 let věku), novým začínajícím zemědělcům nebo zemědělským podnikům založeným v uplynulých 5 letech po dobu prvních 5 let od založení. Od r. 2018 činí platba pro mladé zemědělce 50 % z platby SAPS. Tato podpora je financována až do výše 2 % vnitrostátních prostředků. Jedná se o dodatečné opatření, které doplňuje stávající opatření pro mladé zemědělce v rámci programů rozvoje venkova. (Massot, 2017) </w:t>
      </w:r>
    </w:p>
    <w:p w14:paraId="3C6C5C38" w14:textId="77777777" w:rsidR="00130FD1" w:rsidRPr="00892DB5" w:rsidRDefault="00130FD1" w:rsidP="005F13AA">
      <w:pPr>
        <w:pStyle w:val="UZEINormaln"/>
      </w:pPr>
      <w:r w:rsidRPr="00892DB5">
        <w:rPr>
          <w:rFonts w:cs="Times New Roman"/>
        </w:rPr>
        <w:t>Sazba v roce 2015 činila 885 Kč (25 % ze SAPS ve výši 3543 Kč) a v roce 2016 878 Kč (25 % z 3514 Kč). V roce 2017 činila sazba už jen 844 Kč/ha, ale o rok později byla navýšena na 1 694 Kč/ha. V roce 2019 činila sazba 1 697 Kč. Od roku 2018 bylo evropskými předpisy nově umožněno vyplatit mladým zemědělcům až dvojnásobnou částku oproti předchozím rokům, a proto činila platba pro mladé zemědělce 50% příplatek k platbě SAPS také v roce 2020, tj. 1 822,09 Kč/ha.</w:t>
      </w:r>
    </w:p>
    <w:p w14:paraId="0B4A5E19" w14:textId="295D14BA" w:rsidR="00E27551" w:rsidRPr="00892DB5" w:rsidRDefault="00130FD1" w:rsidP="005F13AA">
      <w:pPr>
        <w:pStyle w:val="UZEINormaln"/>
      </w:pPr>
      <w:r w:rsidRPr="00892DB5">
        <w:t>V roce 2015 bylo podpořeno fungování 3 890 mladých zemědělců na 8 475 hektarech a v roce 2016 4 273 na 84 475 ha. Průměrná podporovaná výměra se ve všech letech pohybovala okolo 20 ha. Meziročně se mírně zvýšil podíl právnických osob. Nejvyšší počet žadatelů byl dosažen v letech 2017 (4 289) a 2018 (5 305). V roce 2020 byl počet žadatelů nižší, což bylo patrně zapříčiněno skončením pětiletého období od zahájení podnikání, po které mohou subjekty žádat o podporu pro mladé zemědělce.</w:t>
      </w:r>
    </w:p>
    <w:p w14:paraId="2F0DD297" w14:textId="72F0DAF1" w:rsidR="00130FD1" w:rsidRPr="00892DB5" w:rsidRDefault="00130FD1" w:rsidP="005F13AA">
      <w:pPr>
        <w:pStyle w:val="UZEITaB"/>
      </w:pPr>
      <w:bookmarkStart w:id="113" w:name="_Toc501110733"/>
      <w:bookmarkStart w:id="114" w:name="_Toc35425691"/>
      <w:bookmarkStart w:id="115" w:name="_Toc81751999"/>
      <w:r w:rsidRPr="00892DB5">
        <w:t>Statistika z žádostí o dotaci na podporu mladých zemědělců</w:t>
      </w:r>
      <w:bookmarkEnd w:id="113"/>
      <w:bookmarkEnd w:id="114"/>
      <w:bookmarkEnd w:id="115"/>
    </w:p>
    <w:tbl>
      <w:tblPr>
        <w:tblStyle w:val="Tmavtabulkasmkou5zvraznn3"/>
        <w:tblW w:w="9141" w:type="dxa"/>
        <w:jc w:val="center"/>
        <w:tblLook w:val="04A0" w:firstRow="1" w:lastRow="0" w:firstColumn="1" w:lastColumn="0" w:noHBand="0" w:noVBand="1"/>
      </w:tblPr>
      <w:tblGrid>
        <w:gridCol w:w="2468"/>
        <w:gridCol w:w="1107"/>
        <w:gridCol w:w="1098"/>
        <w:gridCol w:w="1148"/>
        <w:gridCol w:w="1148"/>
        <w:gridCol w:w="1148"/>
        <w:gridCol w:w="1024"/>
      </w:tblGrid>
      <w:tr w:rsidR="00130FD1" w:rsidRPr="00892DB5" w14:paraId="392F2A0E" w14:textId="77777777" w:rsidTr="0086054E">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68" w:type="dxa"/>
            <w:vAlign w:val="center"/>
          </w:tcPr>
          <w:p w14:paraId="4054C080" w14:textId="77777777" w:rsidR="00130FD1" w:rsidRPr="005F13AA" w:rsidRDefault="00130FD1" w:rsidP="0086054E">
            <w:pPr>
              <w:keepNext/>
              <w:jc w:val="center"/>
              <w:rPr>
                <w:color w:val="auto"/>
                <w:sz w:val="20"/>
                <w:szCs w:val="20"/>
              </w:rPr>
            </w:pPr>
          </w:p>
        </w:tc>
        <w:tc>
          <w:tcPr>
            <w:tcW w:w="1107" w:type="dxa"/>
            <w:vAlign w:val="center"/>
            <w:hideMark/>
          </w:tcPr>
          <w:p w14:paraId="0E69B995" w14:textId="77777777" w:rsidR="00130FD1" w:rsidRPr="005F13A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5F13AA">
              <w:rPr>
                <w:color w:val="auto"/>
                <w:sz w:val="20"/>
                <w:szCs w:val="20"/>
              </w:rPr>
              <w:t>2015</w:t>
            </w:r>
          </w:p>
        </w:tc>
        <w:tc>
          <w:tcPr>
            <w:tcW w:w="1098" w:type="dxa"/>
            <w:vAlign w:val="center"/>
          </w:tcPr>
          <w:p w14:paraId="09013CC2" w14:textId="77777777" w:rsidR="00130FD1" w:rsidRPr="005F13A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sz w:val="20"/>
                <w:szCs w:val="20"/>
              </w:rPr>
            </w:pPr>
            <w:r w:rsidRPr="005F13AA">
              <w:rPr>
                <w:color w:val="auto"/>
                <w:sz w:val="20"/>
                <w:szCs w:val="20"/>
              </w:rPr>
              <w:t>2016</w:t>
            </w:r>
          </w:p>
        </w:tc>
        <w:tc>
          <w:tcPr>
            <w:tcW w:w="1148" w:type="dxa"/>
            <w:vAlign w:val="center"/>
          </w:tcPr>
          <w:p w14:paraId="0F8497BA" w14:textId="77777777" w:rsidR="00130FD1" w:rsidRPr="005F13A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5F13AA">
              <w:rPr>
                <w:color w:val="auto"/>
                <w:sz w:val="20"/>
                <w:szCs w:val="20"/>
              </w:rPr>
              <w:t>2017</w:t>
            </w:r>
          </w:p>
        </w:tc>
        <w:tc>
          <w:tcPr>
            <w:tcW w:w="1148" w:type="dxa"/>
            <w:vAlign w:val="center"/>
          </w:tcPr>
          <w:p w14:paraId="6CBD655A" w14:textId="77777777" w:rsidR="00130FD1" w:rsidRPr="005F13AA" w:rsidRDefault="00130FD1" w:rsidP="0086054E">
            <w:pPr>
              <w:jc w:val="center"/>
              <w:cnfStyle w:val="100000000000" w:firstRow="1" w:lastRow="0" w:firstColumn="0" w:lastColumn="0" w:oddVBand="0" w:evenVBand="0" w:oddHBand="0" w:evenHBand="0" w:firstRowFirstColumn="0" w:firstRowLastColumn="0" w:lastRowFirstColumn="0" w:lastRowLastColumn="0"/>
              <w:rPr>
                <w:sz w:val="20"/>
                <w:szCs w:val="20"/>
              </w:rPr>
            </w:pPr>
            <w:r w:rsidRPr="005F13AA">
              <w:rPr>
                <w:color w:val="auto"/>
                <w:sz w:val="20"/>
                <w:szCs w:val="20"/>
              </w:rPr>
              <w:t>2018</w:t>
            </w:r>
          </w:p>
        </w:tc>
        <w:tc>
          <w:tcPr>
            <w:tcW w:w="1148" w:type="dxa"/>
            <w:vAlign w:val="center"/>
          </w:tcPr>
          <w:p w14:paraId="38E62309" w14:textId="77777777" w:rsidR="00130FD1" w:rsidRPr="005F13AA" w:rsidRDefault="00130FD1" w:rsidP="0086054E">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5F13AA">
              <w:rPr>
                <w:color w:val="auto"/>
                <w:sz w:val="20"/>
                <w:szCs w:val="20"/>
              </w:rPr>
              <w:t>2019</w:t>
            </w:r>
          </w:p>
        </w:tc>
        <w:tc>
          <w:tcPr>
            <w:tcW w:w="1024" w:type="dxa"/>
            <w:vAlign w:val="center"/>
          </w:tcPr>
          <w:p w14:paraId="6FDAD520" w14:textId="77777777" w:rsidR="00130FD1" w:rsidRPr="005F13A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5F13AA">
              <w:rPr>
                <w:color w:val="auto"/>
                <w:sz w:val="20"/>
                <w:szCs w:val="20"/>
              </w:rPr>
              <w:t>2020</w:t>
            </w:r>
          </w:p>
        </w:tc>
      </w:tr>
      <w:tr w:rsidR="00130FD1" w:rsidRPr="00892DB5" w14:paraId="04EEF915" w14:textId="77777777" w:rsidTr="0086054E">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68" w:type="dxa"/>
            <w:vAlign w:val="center"/>
            <w:hideMark/>
          </w:tcPr>
          <w:p w14:paraId="616D379F" w14:textId="77777777" w:rsidR="00130FD1" w:rsidRPr="005F13AA" w:rsidRDefault="00130FD1" w:rsidP="0086054E">
            <w:pPr>
              <w:keepNext/>
              <w:jc w:val="left"/>
              <w:rPr>
                <w:color w:val="auto"/>
                <w:sz w:val="20"/>
                <w:szCs w:val="20"/>
              </w:rPr>
            </w:pPr>
            <w:r w:rsidRPr="005F13AA">
              <w:rPr>
                <w:color w:val="auto"/>
                <w:sz w:val="20"/>
                <w:szCs w:val="20"/>
              </w:rPr>
              <w:t>Celkový počet mladých zemědělců</w:t>
            </w:r>
          </w:p>
        </w:tc>
        <w:tc>
          <w:tcPr>
            <w:tcW w:w="1107" w:type="dxa"/>
            <w:vAlign w:val="center"/>
            <w:hideMark/>
          </w:tcPr>
          <w:p w14:paraId="35FBB51D"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3 890</w:t>
            </w:r>
          </w:p>
        </w:tc>
        <w:tc>
          <w:tcPr>
            <w:tcW w:w="1098" w:type="dxa"/>
            <w:vAlign w:val="center"/>
          </w:tcPr>
          <w:p w14:paraId="145FF806"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4 273</w:t>
            </w:r>
          </w:p>
        </w:tc>
        <w:tc>
          <w:tcPr>
            <w:tcW w:w="1148" w:type="dxa"/>
            <w:vAlign w:val="center"/>
          </w:tcPr>
          <w:p w14:paraId="40BAB387"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4 289</w:t>
            </w:r>
          </w:p>
        </w:tc>
        <w:tc>
          <w:tcPr>
            <w:tcW w:w="1148" w:type="dxa"/>
            <w:vAlign w:val="center"/>
          </w:tcPr>
          <w:p w14:paraId="55862878" w14:textId="77777777" w:rsidR="00130FD1" w:rsidRPr="005F13AA" w:rsidRDefault="00130FD1"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5305</w:t>
            </w:r>
          </w:p>
        </w:tc>
        <w:tc>
          <w:tcPr>
            <w:tcW w:w="1148" w:type="dxa"/>
            <w:vAlign w:val="center"/>
          </w:tcPr>
          <w:p w14:paraId="16CB690D" w14:textId="77777777" w:rsidR="00130FD1" w:rsidRPr="005F13AA" w:rsidRDefault="00130FD1"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5 609</w:t>
            </w:r>
          </w:p>
        </w:tc>
        <w:tc>
          <w:tcPr>
            <w:tcW w:w="1024" w:type="dxa"/>
            <w:vAlign w:val="center"/>
          </w:tcPr>
          <w:p w14:paraId="1489C8F4"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3 986</w:t>
            </w:r>
          </w:p>
        </w:tc>
      </w:tr>
      <w:tr w:rsidR="00130FD1" w:rsidRPr="00892DB5" w14:paraId="4EC19E0E" w14:textId="77777777" w:rsidTr="0086054E">
        <w:trPr>
          <w:trHeight w:val="630"/>
          <w:jc w:val="center"/>
        </w:trPr>
        <w:tc>
          <w:tcPr>
            <w:cnfStyle w:val="001000000000" w:firstRow="0" w:lastRow="0" w:firstColumn="1" w:lastColumn="0" w:oddVBand="0" w:evenVBand="0" w:oddHBand="0" w:evenHBand="0" w:firstRowFirstColumn="0" w:firstRowLastColumn="0" w:lastRowFirstColumn="0" w:lastRowLastColumn="0"/>
            <w:tcW w:w="2468" w:type="dxa"/>
            <w:vAlign w:val="center"/>
            <w:hideMark/>
          </w:tcPr>
          <w:p w14:paraId="5ED65632" w14:textId="77777777" w:rsidR="00130FD1" w:rsidRPr="005F13AA" w:rsidRDefault="00130FD1" w:rsidP="0086054E">
            <w:pPr>
              <w:keepNext/>
              <w:jc w:val="left"/>
              <w:rPr>
                <w:color w:val="auto"/>
                <w:sz w:val="20"/>
                <w:szCs w:val="20"/>
              </w:rPr>
            </w:pPr>
            <w:r w:rsidRPr="005F13AA">
              <w:rPr>
                <w:color w:val="auto"/>
                <w:sz w:val="20"/>
                <w:szCs w:val="20"/>
              </w:rPr>
              <w:t>Celková podporovaná výměra</w:t>
            </w:r>
          </w:p>
        </w:tc>
        <w:tc>
          <w:tcPr>
            <w:tcW w:w="1107" w:type="dxa"/>
            <w:vAlign w:val="center"/>
            <w:hideMark/>
          </w:tcPr>
          <w:p w14:paraId="5FB5A583"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77 650 ha</w:t>
            </w:r>
          </w:p>
        </w:tc>
        <w:tc>
          <w:tcPr>
            <w:tcW w:w="1098" w:type="dxa"/>
            <w:vAlign w:val="center"/>
          </w:tcPr>
          <w:p w14:paraId="569B7B43"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84 475 ha</w:t>
            </w:r>
          </w:p>
        </w:tc>
        <w:tc>
          <w:tcPr>
            <w:tcW w:w="1148" w:type="dxa"/>
            <w:vAlign w:val="center"/>
          </w:tcPr>
          <w:p w14:paraId="25D4B007"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84 364 ha</w:t>
            </w:r>
          </w:p>
        </w:tc>
        <w:tc>
          <w:tcPr>
            <w:tcW w:w="1148" w:type="dxa"/>
            <w:vAlign w:val="center"/>
          </w:tcPr>
          <w:p w14:paraId="6B71CB97" w14:textId="77777777" w:rsidR="00130FD1" w:rsidRPr="005F13AA" w:rsidRDefault="00130FD1" w:rsidP="0086054E">
            <w:pPr>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111 873 ha</w:t>
            </w:r>
          </w:p>
        </w:tc>
        <w:tc>
          <w:tcPr>
            <w:tcW w:w="1148" w:type="dxa"/>
            <w:vAlign w:val="center"/>
          </w:tcPr>
          <w:p w14:paraId="079C51E6" w14:textId="77777777" w:rsidR="00130FD1" w:rsidRPr="005F13AA" w:rsidRDefault="00130FD1" w:rsidP="0086054E">
            <w:pPr>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126 164 ha</w:t>
            </w:r>
          </w:p>
        </w:tc>
        <w:tc>
          <w:tcPr>
            <w:tcW w:w="1024" w:type="dxa"/>
            <w:vAlign w:val="center"/>
          </w:tcPr>
          <w:p w14:paraId="12FEA9B7"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92 312 ha</w:t>
            </w:r>
          </w:p>
        </w:tc>
      </w:tr>
      <w:tr w:rsidR="00130FD1" w:rsidRPr="00892DB5" w14:paraId="0A447143" w14:textId="77777777" w:rsidTr="0086054E">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68" w:type="dxa"/>
            <w:vAlign w:val="center"/>
            <w:hideMark/>
          </w:tcPr>
          <w:p w14:paraId="74D97159" w14:textId="77777777" w:rsidR="00130FD1" w:rsidRPr="005F13AA" w:rsidRDefault="00130FD1" w:rsidP="0086054E">
            <w:pPr>
              <w:keepNext/>
              <w:jc w:val="left"/>
              <w:rPr>
                <w:color w:val="auto"/>
                <w:sz w:val="20"/>
                <w:szCs w:val="20"/>
              </w:rPr>
            </w:pPr>
            <w:r w:rsidRPr="005F13AA">
              <w:rPr>
                <w:color w:val="auto"/>
                <w:sz w:val="20"/>
                <w:szCs w:val="20"/>
              </w:rPr>
              <w:t>Průměrná podporovaná výměra</w:t>
            </w:r>
          </w:p>
        </w:tc>
        <w:tc>
          <w:tcPr>
            <w:tcW w:w="1107" w:type="dxa"/>
            <w:vAlign w:val="center"/>
            <w:hideMark/>
          </w:tcPr>
          <w:p w14:paraId="54DE639C"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20,0 ha</w:t>
            </w:r>
          </w:p>
        </w:tc>
        <w:tc>
          <w:tcPr>
            <w:tcW w:w="1098" w:type="dxa"/>
            <w:vAlign w:val="center"/>
          </w:tcPr>
          <w:p w14:paraId="72A0304F"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19,8 ha</w:t>
            </w:r>
          </w:p>
        </w:tc>
        <w:tc>
          <w:tcPr>
            <w:tcW w:w="1148" w:type="dxa"/>
            <w:vAlign w:val="center"/>
          </w:tcPr>
          <w:p w14:paraId="066A4256"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19,7 ha</w:t>
            </w:r>
          </w:p>
        </w:tc>
        <w:tc>
          <w:tcPr>
            <w:tcW w:w="1148" w:type="dxa"/>
            <w:vAlign w:val="center"/>
          </w:tcPr>
          <w:p w14:paraId="357F85A1" w14:textId="77777777" w:rsidR="00130FD1" w:rsidRPr="005F13AA" w:rsidRDefault="00130FD1"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21,1 ha</w:t>
            </w:r>
          </w:p>
        </w:tc>
        <w:tc>
          <w:tcPr>
            <w:tcW w:w="1148" w:type="dxa"/>
            <w:vAlign w:val="center"/>
          </w:tcPr>
          <w:p w14:paraId="783647A7" w14:textId="77777777" w:rsidR="00130FD1" w:rsidRPr="005F13AA" w:rsidRDefault="00130FD1"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22,5 ha</w:t>
            </w:r>
          </w:p>
        </w:tc>
        <w:tc>
          <w:tcPr>
            <w:tcW w:w="1024" w:type="dxa"/>
            <w:vAlign w:val="center"/>
          </w:tcPr>
          <w:p w14:paraId="5567CD86"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23,3 ha</w:t>
            </w:r>
          </w:p>
        </w:tc>
      </w:tr>
      <w:tr w:rsidR="00130FD1" w:rsidRPr="00892DB5" w14:paraId="5A380BB1" w14:textId="77777777" w:rsidTr="0086054E">
        <w:trPr>
          <w:trHeight w:val="340"/>
          <w:jc w:val="center"/>
        </w:trPr>
        <w:tc>
          <w:tcPr>
            <w:cnfStyle w:val="001000000000" w:firstRow="0" w:lastRow="0" w:firstColumn="1" w:lastColumn="0" w:oddVBand="0" w:evenVBand="0" w:oddHBand="0" w:evenHBand="0" w:firstRowFirstColumn="0" w:firstRowLastColumn="0" w:lastRowFirstColumn="0" w:lastRowLastColumn="0"/>
            <w:tcW w:w="2468" w:type="dxa"/>
            <w:vAlign w:val="center"/>
            <w:hideMark/>
          </w:tcPr>
          <w:p w14:paraId="7EB9DA2C" w14:textId="77777777" w:rsidR="00130FD1" w:rsidRPr="005F13AA" w:rsidRDefault="00130FD1" w:rsidP="0086054E">
            <w:pPr>
              <w:keepNext/>
              <w:jc w:val="left"/>
              <w:rPr>
                <w:color w:val="auto"/>
                <w:sz w:val="20"/>
                <w:szCs w:val="20"/>
              </w:rPr>
            </w:pPr>
            <w:r w:rsidRPr="005F13AA">
              <w:rPr>
                <w:color w:val="auto"/>
                <w:sz w:val="20"/>
                <w:szCs w:val="20"/>
              </w:rPr>
              <w:t>Počet fyzických osob</w:t>
            </w:r>
          </w:p>
        </w:tc>
        <w:tc>
          <w:tcPr>
            <w:tcW w:w="1107" w:type="dxa"/>
            <w:vAlign w:val="center"/>
            <w:hideMark/>
          </w:tcPr>
          <w:p w14:paraId="3AF3CB16"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3 724 (96 %)</w:t>
            </w:r>
          </w:p>
        </w:tc>
        <w:tc>
          <w:tcPr>
            <w:tcW w:w="1098" w:type="dxa"/>
            <w:vAlign w:val="center"/>
          </w:tcPr>
          <w:p w14:paraId="35C2E3A2"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4 050 (95 %)</w:t>
            </w:r>
          </w:p>
        </w:tc>
        <w:tc>
          <w:tcPr>
            <w:tcW w:w="1148" w:type="dxa"/>
            <w:vAlign w:val="center"/>
          </w:tcPr>
          <w:p w14:paraId="10A39320"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4 038 (94%)</w:t>
            </w:r>
          </w:p>
        </w:tc>
        <w:tc>
          <w:tcPr>
            <w:tcW w:w="1148" w:type="dxa"/>
          </w:tcPr>
          <w:p w14:paraId="6E4FDADC" w14:textId="77777777" w:rsidR="00130FD1" w:rsidRPr="005F13AA" w:rsidRDefault="00130FD1" w:rsidP="0086054E">
            <w:pPr>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5 072 (96%)</w:t>
            </w:r>
          </w:p>
        </w:tc>
        <w:tc>
          <w:tcPr>
            <w:tcW w:w="1148" w:type="dxa"/>
          </w:tcPr>
          <w:p w14:paraId="088C1885" w14:textId="77777777" w:rsidR="00130FD1" w:rsidRPr="005F13AA" w:rsidRDefault="00130FD1" w:rsidP="0086054E">
            <w:pPr>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5339 (95%)</w:t>
            </w:r>
          </w:p>
        </w:tc>
        <w:tc>
          <w:tcPr>
            <w:tcW w:w="1024" w:type="dxa"/>
          </w:tcPr>
          <w:p w14:paraId="01955DB1" w14:textId="77777777" w:rsidR="00130FD1" w:rsidRPr="005F13A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5F13AA">
              <w:rPr>
                <w:sz w:val="20"/>
                <w:szCs w:val="20"/>
              </w:rPr>
              <w:t>3733 (94 %)</w:t>
            </w:r>
          </w:p>
        </w:tc>
      </w:tr>
      <w:tr w:rsidR="00130FD1" w:rsidRPr="00892DB5" w14:paraId="07753DBB" w14:textId="77777777" w:rsidTr="0086054E">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68" w:type="dxa"/>
            <w:vAlign w:val="center"/>
            <w:hideMark/>
          </w:tcPr>
          <w:p w14:paraId="33256E94" w14:textId="77777777" w:rsidR="00130FD1" w:rsidRPr="005F13AA" w:rsidRDefault="00130FD1" w:rsidP="0086054E">
            <w:pPr>
              <w:keepNext/>
              <w:jc w:val="left"/>
              <w:rPr>
                <w:color w:val="auto"/>
                <w:sz w:val="20"/>
                <w:szCs w:val="20"/>
              </w:rPr>
            </w:pPr>
            <w:r w:rsidRPr="005F13AA">
              <w:rPr>
                <w:color w:val="auto"/>
                <w:sz w:val="20"/>
                <w:szCs w:val="20"/>
              </w:rPr>
              <w:t>Počet právnických osob</w:t>
            </w:r>
          </w:p>
        </w:tc>
        <w:tc>
          <w:tcPr>
            <w:tcW w:w="1107" w:type="dxa"/>
            <w:vAlign w:val="center"/>
            <w:hideMark/>
          </w:tcPr>
          <w:p w14:paraId="3E0FEA93"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166 (4 %)</w:t>
            </w:r>
          </w:p>
        </w:tc>
        <w:tc>
          <w:tcPr>
            <w:tcW w:w="1098" w:type="dxa"/>
            <w:vAlign w:val="center"/>
          </w:tcPr>
          <w:p w14:paraId="03A6D5D5"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223 (5 %)</w:t>
            </w:r>
          </w:p>
        </w:tc>
        <w:tc>
          <w:tcPr>
            <w:tcW w:w="1148" w:type="dxa"/>
            <w:vAlign w:val="center"/>
          </w:tcPr>
          <w:p w14:paraId="32660A59"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251 (6%)</w:t>
            </w:r>
          </w:p>
        </w:tc>
        <w:tc>
          <w:tcPr>
            <w:tcW w:w="1148" w:type="dxa"/>
          </w:tcPr>
          <w:p w14:paraId="0FA7B421" w14:textId="77777777" w:rsidR="00130FD1" w:rsidRPr="005F13AA" w:rsidRDefault="00130FD1"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5 072 (96%)</w:t>
            </w:r>
          </w:p>
        </w:tc>
        <w:tc>
          <w:tcPr>
            <w:tcW w:w="1148" w:type="dxa"/>
          </w:tcPr>
          <w:p w14:paraId="2FB60784" w14:textId="77777777" w:rsidR="00130FD1" w:rsidRPr="005F13AA" w:rsidRDefault="00130FD1" w:rsidP="0086054E">
            <w:pPr>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265 (5%)</w:t>
            </w:r>
          </w:p>
        </w:tc>
        <w:tc>
          <w:tcPr>
            <w:tcW w:w="1024" w:type="dxa"/>
          </w:tcPr>
          <w:p w14:paraId="754B2F43"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 xml:space="preserve">253 </w:t>
            </w:r>
          </w:p>
          <w:p w14:paraId="60611526" w14:textId="77777777" w:rsidR="00130FD1" w:rsidRPr="005F13A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5F13AA">
              <w:rPr>
                <w:sz w:val="20"/>
                <w:szCs w:val="20"/>
              </w:rPr>
              <w:t>(6 %)</w:t>
            </w:r>
          </w:p>
        </w:tc>
      </w:tr>
    </w:tbl>
    <w:p w14:paraId="37CDEA21" w14:textId="77777777" w:rsidR="00130FD1" w:rsidRPr="00892DB5" w:rsidRDefault="00130FD1" w:rsidP="008C417F">
      <w:pPr>
        <w:pStyle w:val="Zdroj"/>
        <w:rPr>
          <w:rFonts w:ascii="Arial" w:hAnsi="Arial"/>
          <w:szCs w:val="20"/>
          <w:lang w:eastAsia="cs-CZ"/>
        </w:rPr>
      </w:pPr>
      <w:r w:rsidRPr="00892DB5">
        <w:t xml:space="preserve">Zdroj: </w:t>
      </w:r>
      <w:bookmarkStart w:id="116" w:name="_Hlk516425016"/>
      <w:r w:rsidRPr="00892DB5">
        <w:t>MZe (2018)</w:t>
      </w:r>
      <w:bookmarkEnd w:id="116"/>
    </w:p>
    <w:p w14:paraId="719BBA7E" w14:textId="3F08A153" w:rsidR="00130FD1" w:rsidRPr="00892DB5" w:rsidRDefault="00130FD1" w:rsidP="008C417F">
      <w:pPr>
        <w:pStyle w:val="UZEINormaln"/>
      </w:pPr>
      <w:r w:rsidRPr="00892DB5">
        <w:t>Na základě dat z LPIS byli identifikováni zemědělci, kteří zahájili činnost (resp. zaregistrovali svou půdu v LPIS v roce 2014) a začali pobírat doplňkovou platbu na plochu pro mladé zemědělce. Celkem jich bylo 537 s průměrnou výměrou 9,6 ha. V dalším roce nově zaregistrovalo půdu do LPIS a pobíralo na ni platbu 1316 mladých (s průměrnou výměrou 26,7 ha) a v roce 2016 nově registrovalo půdu 822 podniků mladých zemědělců s ještě větší průměrnou výměrou 68,7 ha.</w:t>
      </w:r>
    </w:p>
    <w:p w14:paraId="3C45961E" w14:textId="3978CEF6" w:rsidR="00E27551" w:rsidRPr="00892DB5" w:rsidRDefault="00130FD1" w:rsidP="008C417F">
      <w:pPr>
        <w:pStyle w:val="UZEINormaln"/>
      </w:pPr>
      <w:bookmarkStart w:id="117" w:name="_Hlk14811860"/>
      <w:r w:rsidRPr="00892DB5">
        <w:rPr>
          <w:rStyle w:val="shorttext"/>
        </w:rPr>
        <w:t xml:space="preserve">Evropský účetní dvůr, který prováděl audit podpor z </w:t>
      </w:r>
      <w:r w:rsidRPr="00892DB5">
        <w:t xml:space="preserve">1. pilíře SZP (byť se netýkal konkrétně ČR) odhalil nedostatky plošné podpory poskytované mladým zemědělcům. „Podpora není založena na řádném posouzení potřeb, neodráží obecný cíl podpory generační obnovy, není </w:t>
      </w:r>
      <w:r w:rsidRPr="00892DB5">
        <w:lastRenderedPageBreak/>
        <w:t>vždy poskytována mladým zemědělcům, kteří to potřebují, a někdy je poskytována také podnikům, kde mladí zemědělci hrají jen malou roli.“ (ECA, 2017) Tyto nedostatky mohou být v budoucím programovém období překonány důkladnější analýzou a identifikací potřeb ve Strategickém plánu. Co se týče významnosti role mladých v podniku, již nyní je tento problém v ČR ošetřen definicí, kdy příjemce podpory musí být vlastníkem zemědělského podniku. Dále podle zjištění ECA (2017) členské státy nekoordinují platby v rámci pilíře 1 s podporou mladých zemědělců v rámci pilíře 2. Tato nevýhoda bude v budoucím programovém období eliminována existencí jednoho Strategického plánu, kde bude provázanost obou intervencí patrnější a jednodušeji dohledatelná. „Podpora je poskytována ve standardizované podobě, která nezohledňuje jiné potřeby než dodatečné příjmy. Společný rámec pro monitorování a hodnocení neobsahuje žádné ukazatele výsledků.“ (ECA, 2017) Z tohoto je zřejmé, že i přímé měření účinků podpory na generační obnovu je obtížné. Je možné souhlasit s tím, že přínos doplňkových přímých plateb ke generační obměně je těžko měřitelný a obtížně stanovitelný. Nárůst počtu žadatelů o doplňkové přímé platby mezi lety 2015 až 2017 koresponduje s nárůstem počtu zemědělců mladších 40 let (resp. zemědělských podnikatelů zapsaných v zemědělském rejstříku). Je ale složité prokázat příčinnou souvislost a potvrdit, že k nárůstu počtu nových mladých zemědělců přispívají právě doplňkové přímé platby.</w:t>
      </w:r>
    </w:p>
    <w:p w14:paraId="2253F48A" w14:textId="7E6A5264" w:rsidR="00130FD1" w:rsidRPr="00892DB5" w:rsidRDefault="00130FD1" w:rsidP="00E27551">
      <w:pPr>
        <w:pStyle w:val="Nadpis3"/>
        <w:rPr>
          <w:lang w:val="cs-CZ"/>
        </w:rPr>
      </w:pPr>
      <w:bookmarkStart w:id="118" w:name="_Toc44409235"/>
      <w:bookmarkStart w:id="119" w:name="_Toc80347871"/>
      <w:bookmarkStart w:id="120" w:name="_Toc81752208"/>
      <w:bookmarkEnd w:id="117"/>
      <w:r w:rsidRPr="00892DB5">
        <w:rPr>
          <w:lang w:val="cs-CZ"/>
        </w:rPr>
        <w:t>2. pilíř SZP – Program rozvoje venkova</w:t>
      </w:r>
      <w:r w:rsidRPr="00892DB5">
        <w:rPr>
          <w:rStyle w:val="Znakapoznpodarou"/>
          <w:lang w:val="cs-CZ"/>
        </w:rPr>
        <w:footnoteReference w:id="16"/>
      </w:r>
      <w:bookmarkEnd w:id="118"/>
      <w:bookmarkEnd w:id="119"/>
      <w:bookmarkEnd w:id="120"/>
      <w:r w:rsidRPr="00892DB5">
        <w:rPr>
          <w:lang w:val="cs-CZ"/>
        </w:rPr>
        <w:t xml:space="preserve"> </w:t>
      </w:r>
    </w:p>
    <w:p w14:paraId="09D90C81" w14:textId="77777777" w:rsidR="00130FD1" w:rsidRPr="00892DB5" w:rsidRDefault="00130FD1" w:rsidP="00E666BE">
      <w:pPr>
        <w:pStyle w:val="UZEINormaln"/>
      </w:pPr>
      <w:r w:rsidRPr="00892DB5">
        <w:rPr>
          <w:b/>
        </w:rPr>
        <w:t>V programovém období 2007–2013</w:t>
      </w:r>
      <w:r w:rsidRPr="00892DB5">
        <w:t xml:space="preserve"> bylo v rámci opatření PRV </w:t>
      </w:r>
      <w:r w:rsidRPr="00892DB5">
        <w:rPr>
          <w:b/>
        </w:rPr>
        <w:t>I. 3. 2 Zahájení činnosti mladých zemědělců</w:t>
      </w:r>
      <w:r w:rsidRPr="00892DB5">
        <w:t xml:space="preserve"> schváleno a proplaceno 1 364 projektů (cílem bylo podpořit 1 500 projektů) v celkové hodnotě 94 984 tis. eur (oproti plánovaným 55 090 eur). Došlo ke z</w:t>
      </w:r>
      <w:r w:rsidRPr="00892DB5">
        <w:rPr>
          <w:rFonts w:eastAsiaTheme="minorEastAsia"/>
        </w:rPr>
        <w:t>výšení zeměděls</w:t>
      </w:r>
      <w:r w:rsidRPr="00892DB5">
        <w:t xml:space="preserve">ké HPH v podpořených podnicích o 15 360 </w:t>
      </w:r>
      <w:r w:rsidRPr="00892DB5">
        <w:rPr>
          <w:rFonts w:eastAsiaTheme="minorEastAsia"/>
        </w:rPr>
        <w:t xml:space="preserve">tis. </w:t>
      </w:r>
      <w:r w:rsidRPr="00892DB5">
        <w:t>eur (indikátor byl 18 000 eur</w:t>
      </w:r>
      <w:r w:rsidRPr="00892DB5">
        <w:rPr>
          <w:rFonts w:eastAsiaTheme="minorEastAsia"/>
        </w:rPr>
        <w:t>)</w:t>
      </w:r>
      <w:r w:rsidRPr="00892DB5">
        <w:t>. Na opatření byl rozpočet ve výši 1,5 % celkového rozpočtu PRV. Celkové investice vyvolané podporou z PRV u schválených projektů dosáhly výše téměř dvojnásobné – cca 95 mil. EUR, protože systém preferenčních kritérií zvýhodňoval podnikatele, kteří se větší měrou podíleli na podnikatelském plánu svými vlastními prostředky. Většina příjemců byli fyzické osoby a téměř dvě třetiny mladých začínajících zemědělců fyzických osob tvořili muži. Přibližně jedna pětina mladých začínajících zemědělců navázala svou činností na předané hospodářství v rámci opatření 113 Předčasné ukončení zemědělské činnosti a téměř třetina hospodařila v režimu ekologického zemědělství. Převažujícím typem odvětví podnikání zůstává smíšená rostlinná a živočišná výroba, polní plodiny a dále pasoucí se hospodářská zvířata. Minimální zájem začínajících podnikatelů je o samostatný chov prasat a drůbeže, odvětví mléka či o zahradnictví. Nejvyšší počet příjemců (27% podíl) byl mezi 25 a 29 lety. Osoby starší 30 let tvoří cca 47 % vzorku, osoby mladší 25 let 26 %. Ženy byly v průměru o cca 3 roky starší, a to setrvale napříč všemi koly. Nastupující mladá generace žadatelů vykazovala významně vyšší stupeň vzdělání, než byl průměr populace (více vysokoškolsky vzdělaných). (Ekotoxa a Ireas, 2016)</w:t>
      </w:r>
    </w:p>
    <w:p w14:paraId="66C17772" w14:textId="77777777" w:rsidR="00130FD1" w:rsidRPr="00892DB5" w:rsidRDefault="00130FD1" w:rsidP="00E666BE">
      <w:pPr>
        <w:pStyle w:val="UZEINormaln"/>
      </w:pPr>
      <w:r w:rsidRPr="00892DB5">
        <w:t>Zájem o zemědělskou činnost, měřeno zájmem o dotaci na zahájení činnosti, byl ze strany mladých osob vysoký, kdy přetrvával výrazný 2,6násobný převis žádostí o dotaci nad finančními možnostmi jednotlivých kol výzev. Podpora představovala významnou položku v cizích zdrojích začínajících zemědělců (cca 49,3 %). (Ekotoxa a Ireas, 2016)</w:t>
      </w:r>
    </w:p>
    <w:p w14:paraId="27102E4D" w14:textId="77777777" w:rsidR="00130FD1" w:rsidRPr="00892DB5" w:rsidRDefault="00130FD1" w:rsidP="00E666BE">
      <w:pPr>
        <w:pStyle w:val="UZEINormaln"/>
      </w:pPr>
      <w:r w:rsidRPr="00892DB5">
        <w:t xml:space="preserve">Podpora byla využívána zejména na nákup zemědělské techniky (téměř polovina projektů) a kombinovaný nákup pozemků a strojů (15 %). 7 % bylo použito na pořízení zemědělské půdy. Opatření podpořilo mladé zemědělce, kteří byli schopni s podporou dosáhnout významně většího navýšení HPH, než tomu bylo v celém zemědělství. Produktivita práce byla u podpořených podniků nižší v prvních letech od zahájení a vyšší v letech následujících. Podpora se za celé programové období projevila na domácí produkci a HDP nárůstem o 0,06 %. </w:t>
      </w:r>
      <w:r w:rsidRPr="00892DB5">
        <w:lastRenderedPageBreak/>
        <w:t>Zahájení činnosti bylo doprovázeno následným rozvojem v podobě nárůstu obhospodařované zemědělské půdy i změnou struktury obhospodařovaných pozemků. (Ekotoxa a Ireas, 2016).</w:t>
      </w:r>
    </w:p>
    <w:p w14:paraId="32CD0A4D" w14:textId="77777777" w:rsidR="00130FD1" w:rsidRPr="00892DB5" w:rsidRDefault="00130FD1" w:rsidP="00E666BE">
      <w:pPr>
        <w:pStyle w:val="UZEINormaln"/>
      </w:pPr>
      <w:r w:rsidRPr="00892DB5">
        <w:t>Ze závěrů střednědobého hodnocení vyplynulo, že část žadatelů nakonec zahajuje svoji zemědělskou činnost i bez přiznání dotace. Přibližně čtvrtina respondentů by však projekt nerealizovala vůbec a 21 % v čase do dvou let a 17 % ve výhledu do 5 let. Navíc zhruba 2/3 příjemců začínaly svoji činnost na zelené louce. (Ekotoxa a Ireas, 2016) Podpora z PRV tak byla významným pomocníkem při zahájení činnosti mladých zemědělců.</w:t>
      </w:r>
    </w:p>
    <w:p w14:paraId="7F110D00" w14:textId="77777777" w:rsidR="00130FD1" w:rsidRPr="00892DB5" w:rsidRDefault="00130FD1" w:rsidP="00E666BE">
      <w:pPr>
        <w:pStyle w:val="UZEINormaln"/>
      </w:pPr>
      <w:r w:rsidRPr="00892DB5">
        <w:t>V rámci opatření 113 (</w:t>
      </w:r>
      <w:r w:rsidRPr="00892DB5">
        <w:rPr>
          <w:b/>
        </w:rPr>
        <w:t>I.3.3 Předčasné ukončení zemědělské činnosti</w:t>
      </w:r>
      <w:r w:rsidRPr="00892DB5">
        <w:t>) na období 2007–2013 bylo plánováno podpořit celkem 250 subjektů, které převedou cca 19 tis. ha zemědělské půdy. Počet 642 podpořených příjemců a počet uvolněných hektarů ve výši 30 957 vzrostl oproti plánované hodnotě více než dvojnásobně. Při srovnání věkových kategorií je zřejmé, že podporováni jsou pouze zemědělci mladší 64 let, mezi podpořenými výrazně převažují muži (576 oproti 76 ženám). Značný rozdíl mezi hodnotami počtu žen a mužů koresponduje s historickým vývojem v odvětví zemědělství. Ačkoli tato čísla reprezentují značný zájem ze strany zemědělců a jeví se tak jako pozitivní, interpretace nemusí být jednoznačná. Do této hodnoty mohou vstupovat i případy pouze administrativních převodů zemědělské půdy mezi rodinnými příslušníky, u nichž však nedošlo k reálnému postoupení podniků, které byly zmiňovány v průběhu rozhovorů se zainteresovanými stranami. (Ekotoxa a Ireas, 2016)</w:t>
      </w:r>
    </w:p>
    <w:p w14:paraId="4C2CC1D2" w14:textId="77777777" w:rsidR="00130FD1" w:rsidRPr="00892DB5" w:rsidRDefault="00130FD1" w:rsidP="00E666BE">
      <w:pPr>
        <w:pStyle w:val="UZEINormaln"/>
      </w:pPr>
      <w:r w:rsidRPr="00892DB5">
        <w:rPr>
          <w:b/>
        </w:rPr>
        <w:t>V programovém období 2007–2013</w:t>
      </w:r>
      <w:r w:rsidRPr="00892DB5">
        <w:t xml:space="preserve"> bylo v rámci opatření PRV </w:t>
      </w:r>
      <w:r w:rsidRPr="00892DB5">
        <w:rPr>
          <w:b/>
        </w:rPr>
        <w:t xml:space="preserve">I. 1. 3 Předčasné ukončení zemědělské činnosti </w:t>
      </w:r>
      <w:r w:rsidRPr="00892DB5">
        <w:t>schváleno a proplaceno 642, respektive 577 projektů (cílem bylo podpořit 250 projektů) v celkové hodnotě 2 720 tis. eur (oproti alokovaným 37 019 tis. eur). Z rozpočtu ale byly financovány i starší závazky HRDP. Celkem bylo uvolněno 30 957 ha, což představuje 48,2 ha na podnik (údaje k 31. 12. 2015) (Ekotoxa a Ireas, 2017).</w:t>
      </w:r>
    </w:p>
    <w:p w14:paraId="6C1462D6" w14:textId="77777777" w:rsidR="00130FD1" w:rsidRPr="00892DB5" w:rsidRDefault="00130FD1" w:rsidP="00E666BE">
      <w:pPr>
        <w:pStyle w:val="UZEINormaln"/>
      </w:pPr>
      <w:r w:rsidRPr="00892DB5">
        <w:t>Opatření, které motivovalo starší zemědělce po dosažení věku 55 let ukončit aktivní zemědělskou činnost a vytvořit tak prostor pro nástup mladších zemědělců, bylo otevřeno v rámci kontinuální výzvy pro příjem žádostí a jeho podpora měla formu jedné roční dotace v rámci první žádosti o dotaci následované v následujících letech Žádostí o proplacení, a to každoročně vždy do 15. 2. daného roku účasti v opatření. Postupitelé mohli pobírat roční podporu vypočtenou na základě paušální sazby 75 000 Kč a částky vypočtené na základě počtu převedených hektar ů zemědělské půdy násobených sazbou 4 700 Kč, přičemž horní hranice počtu hektarů zahrnutých do výpočtu byla 30 ha. Před nabytím zemědělské půdy 224 (36 %) mladých zemědělců nehospodařilo na žádné zemědělské půdě, 3 roky před nabytím nehospodařili na žádné zemědělské půdě 472 (76%) mladých zemědělců. Je zřejmé, že aspoň částečně by podstoupené podniky napomohly novým zemědělcům. (Průměrný zemědělský podnik zemědělce mladšího 40 let obhospodařoval v roce 2016 151,4 ha zemědělské půdy (UAA)). Kombinace opatření zahájení činnosti mladého zemědělce a předčasného odchodu do důchodu se objevovala ve 38 % případů (239 projektů).</w:t>
      </w:r>
    </w:p>
    <w:p w14:paraId="6520ABDE" w14:textId="77777777" w:rsidR="00130FD1" w:rsidRPr="00892DB5" w:rsidRDefault="00130FD1" w:rsidP="00E666BE">
      <w:pPr>
        <w:pStyle w:val="UZEINormaln"/>
      </w:pPr>
      <w:r w:rsidRPr="00892DB5">
        <w:t>Dosud byly přijímány žádosti z </w:t>
      </w:r>
      <w:r w:rsidRPr="00892DB5">
        <w:rPr>
          <w:b/>
        </w:rPr>
        <w:t>PRV 2014–2020</w:t>
      </w:r>
      <w:r w:rsidRPr="00892DB5">
        <w:t xml:space="preserve"> ve třech kolech (ve II. v roce 2016, ve IV. v roce 2017 a v VI. v roce 2018). V prvním kole bylo schváleno 548 žádostí a ve druhém 254. Ve třetím kole je zatím pouze 377 žádostí doporučeno. Finanční alokace ve výši 50 mil. EUR je téměř vyčerpána. Ve 2. kole bylo 89 % žadatelů fyzickými osobami, obchodní společnosti žádaly pouze v 59 případech, z čehož se v 58 případech jednalo o právní formu společnosti s ručením omezeným a v jednom případě o akciovou společnost. Průměrný věk mladého zemědělce činil 31 let, přičemž polovina žadatelů byla starších a polovina mladších 30 let. Nejmladšímu žadateli bylo 19, nejčastěji zemědělcům bylo 26 let. Někteří farmáři (7) neměli žádnou půdu (pravděpodobně provozují pouze živočišnou výrobu), v průměru ale žadatel obhospodařoval 30 hektarů půdy. Pouze 21 farem bylo větších než 100 hektarů, na druhou stranu jich zase 79 mělo méně než 5 hektarů. Většina mladých začínajících farmářů jsou spíše </w:t>
      </w:r>
      <w:r w:rsidRPr="00892DB5">
        <w:lastRenderedPageBreak/>
        <w:t>menší – jejich standardní produkce v roce podání ŽoD byla do 500 000 Kč, respektive do 1 mil. Kč. Cílem je podpořit 2.86 % všech podniků mladých zemědělců.</w:t>
      </w:r>
    </w:p>
    <w:p w14:paraId="316E54DE" w14:textId="77777777" w:rsidR="00130FD1" w:rsidRPr="00892DB5" w:rsidRDefault="00130FD1" w:rsidP="00E666BE">
      <w:pPr>
        <w:pStyle w:val="UZEINormaln"/>
      </w:pPr>
      <w:r w:rsidRPr="00892DB5">
        <w:t>Podle dat ze dne 27. 5. za všechna 3 kola zpracovávalo vlastní produkci v průměru 39 % žadatelů. V roce 2016 to bylo 28,4 % (145 z 510), v roce 2017 39,6 % (101 z 255) a v roce 2018 dokonce více než polovina (173 z 308, tj. 56,2 %). Dále 33,3 % zemědělců převzalo hospodářství od zemědělců starších 55 let. V roce 2016 převzalo hospodářství 165 zemědělců z 510 (32,4 %), v roce 2017 to bylo 79 z 255 (31,0 %) a v roce 2018 113 z 308 (36,7 %).</w:t>
      </w:r>
    </w:p>
    <w:p w14:paraId="70BA8DBB" w14:textId="77777777" w:rsidR="00130FD1" w:rsidRPr="00892DB5" w:rsidRDefault="00130FD1" w:rsidP="00E666BE">
      <w:pPr>
        <w:pStyle w:val="UZEINormaln"/>
      </w:pPr>
      <w:r w:rsidRPr="00892DB5">
        <w:t xml:space="preserve">S podporou v rámci 2. pilíře jsou spjaty určité problémy. </w:t>
      </w:r>
      <w:r w:rsidRPr="00892DB5">
        <w:rPr>
          <w:rStyle w:val="shorttext"/>
        </w:rPr>
        <w:t>Evropský účetní dvůr</w:t>
      </w:r>
      <w:r w:rsidRPr="00892DB5">
        <w:t xml:space="preserve"> (ECA, 2017) sice uznává, že i když je podpora většinou založena na nejasném posouzení potřeb, její cíle částečně odrážejí obecný cíl podporovat generační obměnu. Podpora „je přímočařeji zaměřena na potřeby mladých zemědělců, tedy přístup k půdě, kapitálu a znalostem. Výše podpory je zpravidla navázána na potřeby a upravena tak, aby motivovala k realizaci konkrétních opatření (např. zavedení ekologického zemědělství, iniciativ v oblasti úspor vody či energie). Podnikatelské plány jsou užitečným nástrojem, ale jejich kvalita byla v jednotlivých členských státech různá. Řídicí orgány ne vždy uplatnily výběrové postupy, které zajišťovaly upřednostnění těch nejlepších projektů. Kritéria pro výběr projektů byla zavedena až v později a neumožňovala upřednostnit ty nejlepší projekty, protože bodová hranice byla buď příliš nízká, nebo nebyla stanovena. V některých členských státech byl rozpočet vyčerpán hned na začátku období, takže zemědělci zahajující činnost později již nemohli podporu dostat“ (ECA, 2017).</w:t>
      </w:r>
    </w:p>
    <w:p w14:paraId="3FDC2AE8" w14:textId="77777777" w:rsidR="00130FD1" w:rsidRPr="00892DB5" w:rsidRDefault="00130FD1" w:rsidP="00E666BE">
      <w:pPr>
        <w:pStyle w:val="UZEINormaln"/>
      </w:pPr>
      <w:r w:rsidRPr="00892DB5">
        <w:t xml:space="preserve">Samotné přijetí dotace také pro žadatele není bez nároků na jeho vlastní kapitál a přináší i další rizika. Před přidělením dotace je nutné mít k dispozici minimálně 600 tis. Kč, neboť žadatel dostane při první platbě pouze zálohu ve výši cca 625 tis. Kč (polovina z 45 tis. EUR – cca 1,25 mil. Kč), ale celkovou částku dotace musí proinvestovat do dvou let od udělení dotace (tj. vše nejprve zaplatí z vlastních finančních zdrojů). Teprve poté (nejpozději do 24 měsíců od podpisu Dohody o poskytnutí dotace) zpětně podá žádost o proplacení a bude mu vyplacena druhá splátka ve výši 45 % (tj. cca 562,5 tis. Kč). Vyplacení třetí splátky ve výši 5 % dotace je podmíněno řádným provedením podnikatelského plánu a bude provedeno automaticky SZIF bez nutnosti předložení Žádosti o platbu žadatelem/příjemcem dotace za předpokladu, že budou naplněny všechny podmínky Pravidel o poskytnutí dotace. V případě, že by došlo ke krácení dotace v důsledku porušení podmínek a případně i k udělení sankcí, může se stát, že se zemědělec ocitne ve finančních problémech. Zakoupené investice ale nemůže prodat, protože musí dodržet pětiletou lhůtu vázanosti na účel, která běží od data převedení první splátky na účet příjemce dotace. (viz např. </w:t>
      </w:r>
      <w:bookmarkStart w:id="121" w:name="_Hlk516425163"/>
      <w:r w:rsidRPr="00892DB5">
        <w:t>BioInfo, 2009</w:t>
      </w:r>
      <w:bookmarkEnd w:id="121"/>
      <w:r w:rsidRPr="00892DB5">
        <w:t>)</w:t>
      </w:r>
    </w:p>
    <w:p w14:paraId="103B27C0" w14:textId="6F060CF5" w:rsidR="00130FD1" w:rsidRPr="00892DB5" w:rsidRDefault="00130FD1" w:rsidP="00E666BE">
      <w:pPr>
        <w:pStyle w:val="UZEINormaln"/>
      </w:pPr>
      <w:r w:rsidRPr="00892DB5">
        <w:t xml:space="preserve">Menšími riziky jsou povinnost doplnit si do 36 měsíců od podpisu Dohody požadovanou minimální zemědělskou kvalifikaci a dále splňovat minimální a maximální velikost standardní produkce nejen ke dni podání Žádosti o dotaci, ale dosahovat i minimální velikosti po dobu realizace podnikatelského plánu. </w:t>
      </w:r>
    </w:p>
    <w:p w14:paraId="4870A26D" w14:textId="05ED7BA2" w:rsidR="00130FD1" w:rsidRPr="00892DB5" w:rsidRDefault="00D832A5" w:rsidP="006752D6">
      <w:pPr>
        <w:pStyle w:val="Nadpis2"/>
      </w:pPr>
      <w:bookmarkStart w:id="122" w:name="_Toc44409236"/>
      <w:bookmarkStart w:id="123" w:name="_Toc80347872"/>
      <w:r w:rsidRPr="00892DB5">
        <w:t xml:space="preserve"> </w:t>
      </w:r>
      <w:bookmarkStart w:id="124" w:name="_Toc81752209"/>
      <w:r w:rsidR="00130FD1" w:rsidRPr="00892DB5">
        <w:t>Míra současného řešení problému jinými politikami</w:t>
      </w:r>
      <w:bookmarkEnd w:id="122"/>
      <w:bookmarkEnd w:id="123"/>
      <w:bookmarkEnd w:id="124"/>
    </w:p>
    <w:p w14:paraId="241419D9" w14:textId="5D817DFE" w:rsidR="00130FD1" w:rsidRPr="00892DB5" w:rsidRDefault="00130FD1" w:rsidP="00E27551">
      <w:pPr>
        <w:pStyle w:val="Nadpis3"/>
        <w:rPr>
          <w:lang w:val="cs-CZ"/>
        </w:rPr>
      </w:pPr>
      <w:bookmarkStart w:id="125" w:name="_Toc44409237"/>
      <w:bookmarkStart w:id="126" w:name="_Toc80347873"/>
      <w:bookmarkStart w:id="127" w:name="_Toc81752210"/>
      <w:r w:rsidRPr="00892DB5">
        <w:rPr>
          <w:lang w:val="cs-CZ"/>
        </w:rPr>
        <w:t>Podpůrný garanční rolnický a lesnický fond (PGRLF)</w:t>
      </w:r>
      <w:bookmarkEnd w:id="125"/>
      <w:bookmarkEnd w:id="126"/>
      <w:bookmarkEnd w:id="127"/>
    </w:p>
    <w:p w14:paraId="3230630A" w14:textId="77777777" w:rsidR="00130FD1" w:rsidRPr="00892DB5" w:rsidRDefault="00130FD1" w:rsidP="00E666BE">
      <w:pPr>
        <w:pStyle w:val="UZEINormaln"/>
      </w:pPr>
      <w:r w:rsidRPr="00892DB5">
        <w:t xml:space="preserve">V ČR byla také zavedena podpora mladých zemědělců prostřednictvím podprogramu PGRLF nazvaného </w:t>
      </w:r>
      <w:r w:rsidRPr="00892DB5">
        <w:rPr>
          <w:i/>
        </w:rPr>
        <w:t>Mládí</w:t>
      </w:r>
      <w:r w:rsidRPr="00892DB5">
        <w:t>. Mladému zemědělci náleželo zvýšení podpory o 1 %, a to nejdéle do konce roku, ve kterém žadatel – mladý zemědělec – dovršil věku 40 let. Od počátku programu zahájeného v roce 1994 bylo k 31. 12. 2010 v rámci podprogramu Mládí schváleno 5 101 žádostí. K 31. 12. 2017 to pak bylo 10 894 žádostí z celkem 11 546 podaných.</w:t>
      </w:r>
    </w:p>
    <w:p w14:paraId="05543BDF" w14:textId="77777777" w:rsidR="00130FD1" w:rsidRPr="00892DB5" w:rsidRDefault="00130FD1" w:rsidP="00E666BE">
      <w:pPr>
        <w:pStyle w:val="UZEINormaln"/>
        <w:rPr>
          <w:lang w:eastAsia="en-GB"/>
        </w:rPr>
      </w:pPr>
      <w:r w:rsidRPr="00892DB5">
        <w:t xml:space="preserve">Program </w:t>
      </w:r>
      <w:r w:rsidRPr="00892DB5">
        <w:rPr>
          <w:i/>
        </w:rPr>
        <w:t>Mládí</w:t>
      </w:r>
      <w:r w:rsidRPr="00892DB5">
        <w:t xml:space="preserve"> pro </w:t>
      </w:r>
      <w:r w:rsidRPr="00892DB5">
        <w:rPr>
          <w:lang w:eastAsia="en-GB"/>
        </w:rPr>
        <w:t xml:space="preserve">usnadnění zahájení a rozvoje zemědělské výroby na bázi rodinných subjektů byl určen pro mladé podnikatele a mladé rodiny do 40 let. Do programu se mohli </w:t>
      </w:r>
      <w:r w:rsidRPr="00892DB5">
        <w:rPr>
          <w:lang w:eastAsia="en-GB"/>
        </w:rPr>
        <w:lastRenderedPageBreak/>
        <w:t xml:space="preserve">přihlásit mladí podnikatelé (fyzické osoby) mladší 35 let nebo právnické osoby, kde majitel (většinový vlastník obchodního podílu, akcií nebo družstevního podílu) nebyl starší než 35 let. Žadatel se pak účastnil alespoň jednoho z programů </w:t>
      </w:r>
      <w:r w:rsidRPr="00892DB5">
        <w:rPr>
          <w:i/>
          <w:lang w:eastAsia="en-GB"/>
        </w:rPr>
        <w:t>Provoz</w:t>
      </w:r>
      <w:r w:rsidRPr="00892DB5">
        <w:rPr>
          <w:lang w:eastAsia="en-GB"/>
        </w:rPr>
        <w:t xml:space="preserve"> a </w:t>
      </w:r>
      <w:r w:rsidRPr="00892DB5">
        <w:rPr>
          <w:i/>
          <w:lang w:eastAsia="en-GB"/>
        </w:rPr>
        <w:t>Investice</w:t>
      </w:r>
      <w:r w:rsidRPr="00892DB5">
        <w:rPr>
          <w:lang w:eastAsia="en-GB"/>
        </w:rPr>
        <w:t xml:space="preserve">, kde v případě souběhu programů </w:t>
      </w:r>
      <w:r w:rsidRPr="00892DB5">
        <w:rPr>
          <w:i/>
        </w:rPr>
        <w:t>Mládí</w:t>
      </w:r>
      <w:r w:rsidRPr="00892DB5">
        <w:t xml:space="preserve"> </w:t>
      </w:r>
      <w:r w:rsidRPr="00892DB5">
        <w:rPr>
          <w:lang w:eastAsia="en-GB"/>
        </w:rPr>
        <w:t xml:space="preserve">a </w:t>
      </w:r>
      <w:r w:rsidRPr="00892DB5">
        <w:rPr>
          <w:i/>
          <w:lang w:eastAsia="en-GB"/>
        </w:rPr>
        <w:t>Provoz</w:t>
      </w:r>
      <w:r w:rsidRPr="00892DB5">
        <w:rPr>
          <w:lang w:eastAsia="en-GB"/>
        </w:rPr>
        <w:t xml:space="preserve"> mu byla udělena garance až 50% jistiny úvěru a v případě programů </w:t>
      </w:r>
      <w:r w:rsidRPr="00892DB5">
        <w:rPr>
          <w:i/>
        </w:rPr>
        <w:t>Mládí</w:t>
      </w:r>
      <w:r w:rsidRPr="00892DB5">
        <w:t xml:space="preserve"> </w:t>
      </w:r>
      <w:r w:rsidRPr="00892DB5">
        <w:rPr>
          <w:lang w:eastAsia="en-GB"/>
        </w:rPr>
        <w:t xml:space="preserve">a </w:t>
      </w:r>
      <w:r w:rsidRPr="00892DB5">
        <w:rPr>
          <w:i/>
          <w:lang w:eastAsia="en-GB"/>
        </w:rPr>
        <w:t>Investice</w:t>
      </w:r>
      <w:r w:rsidRPr="00892DB5">
        <w:rPr>
          <w:lang w:eastAsia="en-GB"/>
        </w:rPr>
        <w:t xml:space="preserve"> byla podpora ve formě garance se zvýhodněním navýšena až k horní hranici 60% jistiny úvěru. Žadatel na sebe musel vzít závazek k hospodaření po dobu nejméně 10 let. </w:t>
      </w:r>
    </w:p>
    <w:p w14:paraId="0B898732" w14:textId="77777777" w:rsidR="00130FD1" w:rsidRPr="00892DB5" w:rsidRDefault="00130FD1" w:rsidP="00E666BE">
      <w:pPr>
        <w:pStyle w:val="UZEINormaln"/>
      </w:pPr>
      <w:r w:rsidRPr="00892DB5">
        <w:t xml:space="preserve">Na program </w:t>
      </w:r>
      <w:r w:rsidRPr="00892DB5">
        <w:rPr>
          <w:i/>
        </w:rPr>
        <w:t>Mládí</w:t>
      </w:r>
      <w:r w:rsidRPr="00892DB5">
        <w:t xml:space="preserve"> navazoval program </w:t>
      </w:r>
      <w:r w:rsidRPr="00892DB5">
        <w:rPr>
          <w:i/>
        </w:rPr>
        <w:t>Zemědělec</w:t>
      </w:r>
      <w:r w:rsidRPr="00892DB5">
        <w:t xml:space="preserve">, který poskytoval mladým zemědělcům dotace části úroků z úvěru Výše podpory byla závislá na tržní úrokové míře a mladí zemědělci dostávali 1% zvýhodnění. Cílem programu </w:t>
      </w:r>
      <w:r w:rsidRPr="00892DB5">
        <w:rPr>
          <w:i/>
        </w:rPr>
        <w:t>Zemědělec</w:t>
      </w:r>
      <w:r w:rsidRPr="00892DB5">
        <w:t xml:space="preserve"> bylo vytvořit předpoklady pro rozvoj zemědělských prvovýrobců na investice. Hlavní výhodou programu je kontinuální příjem žádostí. (PGRLF, 2018a). Za 10 let bylo podpořeno více než 7,5 tis. mladých zemědělců, kteří získali dotaci úroku z úvěru v celkové výši 1 105 870 Kč, čímž se jimi placená průměrná úroková sazba 5,43 % snížila o 3,53 % na průměrných 1,91 %.</w:t>
      </w:r>
    </w:p>
    <w:p w14:paraId="361450F2" w14:textId="54D6D58E" w:rsidR="00130FD1" w:rsidRPr="00892DB5" w:rsidRDefault="00130FD1" w:rsidP="00E666BE">
      <w:pPr>
        <w:pStyle w:val="UZEITaB"/>
      </w:pPr>
      <w:bookmarkStart w:id="128" w:name="_Toc35425692"/>
      <w:bookmarkStart w:id="129" w:name="_Toc81752000"/>
      <w:r w:rsidRPr="00892DB5">
        <w:t>Poskytnuté podpory úroků z úvěrů: Program Zemědělec – Stav žádostí pouze v režimu mladý zemědělec k 31. 12. 2017</w:t>
      </w:r>
      <w:bookmarkEnd w:id="128"/>
      <w:bookmarkEnd w:id="129"/>
    </w:p>
    <w:tbl>
      <w:tblPr>
        <w:tblStyle w:val="Tmavtabulkasmkou5zvraznn3"/>
        <w:tblW w:w="9062" w:type="dxa"/>
        <w:tblLook w:val="04A0" w:firstRow="1" w:lastRow="0" w:firstColumn="1" w:lastColumn="0" w:noHBand="0" w:noVBand="1"/>
      </w:tblPr>
      <w:tblGrid>
        <w:gridCol w:w="945"/>
        <w:gridCol w:w="957"/>
        <w:gridCol w:w="1233"/>
        <w:gridCol w:w="1538"/>
        <w:gridCol w:w="1095"/>
        <w:gridCol w:w="1045"/>
        <w:gridCol w:w="1069"/>
        <w:gridCol w:w="1180"/>
      </w:tblGrid>
      <w:tr w:rsidR="00130FD1" w:rsidRPr="00892DB5" w14:paraId="45EB6225" w14:textId="77777777" w:rsidTr="0086054E">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45" w:type="dxa"/>
            <w:vMerge w:val="restart"/>
            <w:hideMark/>
          </w:tcPr>
          <w:p w14:paraId="44722E34" w14:textId="77777777" w:rsidR="00130FD1" w:rsidRPr="00892DB5" w:rsidRDefault="00130FD1" w:rsidP="0086054E">
            <w:pPr>
              <w:keepNext/>
              <w:jc w:val="center"/>
              <w:rPr>
                <w:rFonts w:eastAsia="Times New Roman"/>
                <w:color w:val="auto"/>
                <w:sz w:val="20"/>
                <w:szCs w:val="20"/>
                <w:lang w:eastAsia="en-GB"/>
              </w:rPr>
            </w:pPr>
            <w:r w:rsidRPr="00892DB5">
              <w:rPr>
                <w:rFonts w:eastAsia="Times New Roman"/>
                <w:color w:val="auto"/>
                <w:sz w:val="20"/>
                <w:szCs w:val="20"/>
                <w:lang w:eastAsia="en-GB"/>
              </w:rPr>
              <w:t>Rok</w:t>
            </w:r>
          </w:p>
        </w:tc>
        <w:tc>
          <w:tcPr>
            <w:tcW w:w="2190" w:type="dxa"/>
            <w:gridSpan w:val="2"/>
            <w:hideMark/>
          </w:tcPr>
          <w:p w14:paraId="6B635602" w14:textId="77777777" w:rsidR="00130FD1" w:rsidRPr="00892DB5" w:rsidRDefault="00130FD1" w:rsidP="0086054E">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0"/>
                <w:szCs w:val="20"/>
                <w:lang w:eastAsia="en-GB"/>
              </w:rPr>
            </w:pPr>
            <w:r w:rsidRPr="00892DB5">
              <w:rPr>
                <w:rFonts w:eastAsia="Times New Roman"/>
                <w:color w:val="auto"/>
                <w:sz w:val="20"/>
                <w:szCs w:val="20"/>
                <w:lang w:eastAsia="en-GB"/>
              </w:rPr>
              <w:t>Počet žádostí</w:t>
            </w:r>
          </w:p>
        </w:tc>
        <w:tc>
          <w:tcPr>
            <w:tcW w:w="1538" w:type="dxa"/>
            <w:hideMark/>
          </w:tcPr>
          <w:p w14:paraId="5CE771C0" w14:textId="77777777" w:rsidR="00130FD1" w:rsidRPr="00892DB5" w:rsidRDefault="00130FD1" w:rsidP="0086054E">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0"/>
                <w:szCs w:val="20"/>
                <w:lang w:eastAsia="en-GB"/>
              </w:rPr>
            </w:pPr>
            <w:r w:rsidRPr="00892DB5">
              <w:rPr>
                <w:rFonts w:eastAsia="Times New Roman"/>
                <w:color w:val="auto"/>
                <w:sz w:val="20"/>
                <w:szCs w:val="20"/>
                <w:lang w:eastAsia="en-GB"/>
              </w:rPr>
              <w:t>Výše</w:t>
            </w:r>
            <w:r w:rsidRPr="00892DB5">
              <w:rPr>
                <w:rFonts w:eastAsia="Times New Roman"/>
                <w:color w:val="auto"/>
                <w:sz w:val="20"/>
                <w:szCs w:val="20"/>
                <w:lang w:eastAsia="en-GB"/>
              </w:rPr>
              <w:br/>
              <w:t>podpo</w:t>
            </w:r>
            <w:r w:rsidRPr="00892DB5">
              <w:rPr>
                <w:rFonts w:eastAsia="Times New Roman"/>
                <w:b w:val="0"/>
                <w:bCs w:val="0"/>
                <w:color w:val="auto"/>
                <w:sz w:val="20"/>
                <w:szCs w:val="20"/>
                <w:lang w:eastAsia="en-GB"/>
              </w:rPr>
              <w:t>ře</w:t>
            </w:r>
            <w:r w:rsidRPr="00892DB5">
              <w:rPr>
                <w:rFonts w:eastAsia="Times New Roman"/>
                <w:color w:val="auto"/>
                <w:sz w:val="20"/>
                <w:szCs w:val="20"/>
                <w:lang w:eastAsia="en-GB"/>
              </w:rPr>
              <w:t>ných</w:t>
            </w:r>
            <w:r w:rsidRPr="00892DB5">
              <w:rPr>
                <w:rFonts w:eastAsia="Times New Roman"/>
                <w:color w:val="auto"/>
                <w:sz w:val="20"/>
                <w:szCs w:val="20"/>
                <w:lang w:eastAsia="en-GB"/>
              </w:rPr>
              <w:br/>
              <w:t>úvěrů</w:t>
            </w:r>
          </w:p>
        </w:tc>
        <w:tc>
          <w:tcPr>
            <w:tcW w:w="1095" w:type="dxa"/>
            <w:hideMark/>
          </w:tcPr>
          <w:p w14:paraId="3603C9AA" w14:textId="77777777" w:rsidR="00130FD1" w:rsidRPr="00892DB5" w:rsidRDefault="00130FD1" w:rsidP="0086054E">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0"/>
                <w:szCs w:val="20"/>
                <w:lang w:eastAsia="en-GB"/>
              </w:rPr>
            </w:pPr>
            <w:r w:rsidRPr="00892DB5">
              <w:rPr>
                <w:rFonts w:eastAsia="Times New Roman"/>
                <w:color w:val="auto"/>
                <w:sz w:val="20"/>
                <w:szCs w:val="20"/>
                <w:lang w:eastAsia="en-GB"/>
              </w:rPr>
              <w:t>Přislíbené</w:t>
            </w:r>
            <w:r w:rsidRPr="00892DB5">
              <w:rPr>
                <w:rFonts w:eastAsia="Times New Roman"/>
                <w:color w:val="auto"/>
                <w:sz w:val="20"/>
                <w:szCs w:val="20"/>
                <w:lang w:eastAsia="en-GB"/>
              </w:rPr>
              <w:br/>
              <w:t>podpory</w:t>
            </w:r>
          </w:p>
        </w:tc>
        <w:tc>
          <w:tcPr>
            <w:tcW w:w="1045" w:type="dxa"/>
            <w:hideMark/>
          </w:tcPr>
          <w:p w14:paraId="4A5C3C59" w14:textId="77777777" w:rsidR="00130FD1" w:rsidRPr="00892DB5" w:rsidRDefault="00130FD1" w:rsidP="0086054E">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0"/>
                <w:szCs w:val="20"/>
                <w:lang w:eastAsia="en-GB"/>
              </w:rPr>
            </w:pPr>
            <w:r w:rsidRPr="00892DB5">
              <w:rPr>
                <w:rFonts w:eastAsia="Times New Roman"/>
                <w:color w:val="auto"/>
                <w:sz w:val="20"/>
                <w:szCs w:val="20"/>
                <w:lang w:eastAsia="en-GB"/>
              </w:rPr>
              <w:t>Úroková sazba</w:t>
            </w:r>
          </w:p>
        </w:tc>
        <w:tc>
          <w:tcPr>
            <w:tcW w:w="1069" w:type="dxa"/>
            <w:hideMark/>
          </w:tcPr>
          <w:p w14:paraId="4F840802" w14:textId="77777777" w:rsidR="00130FD1" w:rsidRPr="00892DB5" w:rsidRDefault="00130FD1" w:rsidP="0086054E">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0"/>
                <w:szCs w:val="20"/>
                <w:lang w:eastAsia="en-GB"/>
              </w:rPr>
            </w:pPr>
            <w:r w:rsidRPr="00892DB5">
              <w:rPr>
                <w:rFonts w:eastAsia="Times New Roman"/>
                <w:color w:val="auto"/>
                <w:sz w:val="20"/>
                <w:szCs w:val="20"/>
                <w:lang w:eastAsia="en-GB"/>
              </w:rPr>
              <w:t>Procento dotace</w:t>
            </w:r>
          </w:p>
        </w:tc>
        <w:tc>
          <w:tcPr>
            <w:tcW w:w="1180" w:type="dxa"/>
            <w:hideMark/>
          </w:tcPr>
          <w:p w14:paraId="1734213A" w14:textId="77777777" w:rsidR="00130FD1" w:rsidRPr="00892DB5" w:rsidRDefault="00130FD1" w:rsidP="0086054E">
            <w:pPr>
              <w:keepNext/>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0"/>
                <w:szCs w:val="20"/>
                <w:lang w:eastAsia="en-GB"/>
              </w:rPr>
            </w:pPr>
            <w:r w:rsidRPr="00892DB5">
              <w:rPr>
                <w:rFonts w:eastAsia="Times New Roman"/>
                <w:b w:val="0"/>
                <w:bCs w:val="0"/>
                <w:color w:val="auto"/>
                <w:sz w:val="20"/>
                <w:szCs w:val="20"/>
                <w:lang w:eastAsia="en-GB"/>
              </w:rPr>
              <w:t>P</w:t>
            </w:r>
            <w:r w:rsidRPr="00892DB5">
              <w:rPr>
                <w:rFonts w:eastAsia="Times New Roman"/>
                <w:color w:val="auto"/>
                <w:sz w:val="20"/>
                <w:szCs w:val="20"/>
                <w:lang w:eastAsia="en-GB"/>
              </w:rPr>
              <w:t>růměrná sazba k</w:t>
            </w:r>
            <w:r w:rsidRPr="00892DB5">
              <w:rPr>
                <w:rFonts w:eastAsia="Times New Roman"/>
                <w:b w:val="0"/>
                <w:bCs w:val="0"/>
                <w:color w:val="auto"/>
                <w:sz w:val="20"/>
                <w:szCs w:val="20"/>
                <w:lang w:eastAsia="en-GB"/>
              </w:rPr>
              <w:t>l</w:t>
            </w:r>
            <w:r w:rsidRPr="00892DB5">
              <w:rPr>
                <w:rFonts w:eastAsia="Times New Roman"/>
                <w:color w:val="auto"/>
                <w:sz w:val="20"/>
                <w:szCs w:val="20"/>
                <w:lang w:eastAsia="en-GB"/>
              </w:rPr>
              <w:t>ienta</w:t>
            </w:r>
          </w:p>
        </w:tc>
      </w:tr>
      <w:tr w:rsidR="00130FD1" w:rsidRPr="00892DB5" w14:paraId="6A9BE6CA"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vMerge/>
            <w:hideMark/>
          </w:tcPr>
          <w:p w14:paraId="7221087E" w14:textId="77777777" w:rsidR="00130FD1" w:rsidRPr="00892DB5" w:rsidRDefault="00130FD1" w:rsidP="0086054E">
            <w:pPr>
              <w:keepNext/>
              <w:jc w:val="center"/>
              <w:rPr>
                <w:rFonts w:eastAsia="Times New Roman"/>
                <w:color w:val="auto"/>
                <w:sz w:val="20"/>
                <w:szCs w:val="20"/>
                <w:lang w:eastAsia="en-GB"/>
              </w:rPr>
            </w:pPr>
          </w:p>
        </w:tc>
        <w:tc>
          <w:tcPr>
            <w:tcW w:w="957" w:type="dxa"/>
            <w:shd w:val="clear" w:color="auto" w:fill="A5A5A5" w:themeFill="accent3"/>
            <w:noWrap/>
            <w:hideMark/>
          </w:tcPr>
          <w:p w14:paraId="784FCEEB"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celkem</w:t>
            </w:r>
          </w:p>
        </w:tc>
        <w:tc>
          <w:tcPr>
            <w:tcW w:w="1233" w:type="dxa"/>
            <w:shd w:val="clear" w:color="auto" w:fill="A5A5A5" w:themeFill="accent3"/>
            <w:noWrap/>
            <w:hideMark/>
          </w:tcPr>
          <w:p w14:paraId="28C20509"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schválené</w:t>
            </w:r>
          </w:p>
        </w:tc>
        <w:tc>
          <w:tcPr>
            <w:tcW w:w="1538" w:type="dxa"/>
            <w:shd w:val="clear" w:color="auto" w:fill="A5A5A5" w:themeFill="accent3"/>
            <w:noWrap/>
            <w:hideMark/>
          </w:tcPr>
          <w:p w14:paraId="3647E0E5"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v tis. Kč</w:t>
            </w:r>
          </w:p>
        </w:tc>
        <w:tc>
          <w:tcPr>
            <w:tcW w:w="1095" w:type="dxa"/>
            <w:shd w:val="clear" w:color="auto" w:fill="A5A5A5" w:themeFill="accent3"/>
            <w:noWrap/>
            <w:hideMark/>
          </w:tcPr>
          <w:p w14:paraId="7E8B74A0"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v tis. Kč</w:t>
            </w:r>
          </w:p>
        </w:tc>
        <w:tc>
          <w:tcPr>
            <w:tcW w:w="1045" w:type="dxa"/>
            <w:shd w:val="clear" w:color="auto" w:fill="A5A5A5" w:themeFill="accent3"/>
            <w:noWrap/>
            <w:hideMark/>
          </w:tcPr>
          <w:p w14:paraId="47060A3F"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v %</w:t>
            </w:r>
          </w:p>
        </w:tc>
        <w:tc>
          <w:tcPr>
            <w:tcW w:w="1069" w:type="dxa"/>
            <w:shd w:val="clear" w:color="auto" w:fill="A5A5A5" w:themeFill="accent3"/>
            <w:noWrap/>
            <w:hideMark/>
          </w:tcPr>
          <w:p w14:paraId="4DC3F0EC"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v %</w:t>
            </w:r>
          </w:p>
        </w:tc>
        <w:tc>
          <w:tcPr>
            <w:tcW w:w="1180" w:type="dxa"/>
            <w:shd w:val="clear" w:color="auto" w:fill="A5A5A5" w:themeFill="accent3"/>
            <w:noWrap/>
            <w:hideMark/>
          </w:tcPr>
          <w:p w14:paraId="70FE65FF" w14:textId="77777777" w:rsidR="00130FD1" w:rsidRPr="00892DB5" w:rsidRDefault="00130FD1" w:rsidP="0086054E">
            <w:pPr>
              <w:keepNext/>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v %</w:t>
            </w:r>
          </w:p>
        </w:tc>
      </w:tr>
      <w:tr w:rsidR="00130FD1" w:rsidRPr="00892DB5" w14:paraId="26BAE7F3" w14:textId="77777777" w:rsidTr="0086054E">
        <w:trPr>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79F1B6A9"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2007</w:t>
            </w:r>
          </w:p>
        </w:tc>
        <w:tc>
          <w:tcPr>
            <w:tcW w:w="957" w:type="dxa"/>
            <w:noWrap/>
            <w:hideMark/>
          </w:tcPr>
          <w:p w14:paraId="48F96515"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376</w:t>
            </w:r>
          </w:p>
        </w:tc>
        <w:tc>
          <w:tcPr>
            <w:tcW w:w="1233" w:type="dxa"/>
            <w:noWrap/>
            <w:hideMark/>
          </w:tcPr>
          <w:p w14:paraId="22A7C1DA"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353</w:t>
            </w:r>
          </w:p>
        </w:tc>
        <w:tc>
          <w:tcPr>
            <w:tcW w:w="1538" w:type="dxa"/>
            <w:noWrap/>
            <w:hideMark/>
          </w:tcPr>
          <w:p w14:paraId="18C49F44"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594 593</w:t>
            </w:r>
          </w:p>
        </w:tc>
        <w:tc>
          <w:tcPr>
            <w:tcW w:w="1095" w:type="dxa"/>
            <w:noWrap/>
            <w:hideMark/>
          </w:tcPr>
          <w:p w14:paraId="4A1EA9BA"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104 822</w:t>
            </w:r>
          </w:p>
        </w:tc>
        <w:tc>
          <w:tcPr>
            <w:tcW w:w="1045" w:type="dxa"/>
            <w:noWrap/>
            <w:hideMark/>
          </w:tcPr>
          <w:p w14:paraId="15621CFD"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7,13</w:t>
            </w:r>
          </w:p>
        </w:tc>
        <w:tc>
          <w:tcPr>
            <w:tcW w:w="1069" w:type="dxa"/>
            <w:noWrap/>
            <w:hideMark/>
          </w:tcPr>
          <w:p w14:paraId="6FFED645"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4,71</w:t>
            </w:r>
          </w:p>
        </w:tc>
        <w:tc>
          <w:tcPr>
            <w:tcW w:w="1180" w:type="dxa"/>
            <w:noWrap/>
            <w:hideMark/>
          </w:tcPr>
          <w:p w14:paraId="1E6F1665"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2,42</w:t>
            </w:r>
          </w:p>
        </w:tc>
      </w:tr>
      <w:tr w:rsidR="00130FD1" w:rsidRPr="00892DB5" w14:paraId="4C2A1356"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6B612526"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2008</w:t>
            </w:r>
          </w:p>
        </w:tc>
        <w:tc>
          <w:tcPr>
            <w:tcW w:w="957" w:type="dxa"/>
            <w:noWrap/>
            <w:hideMark/>
          </w:tcPr>
          <w:p w14:paraId="08DB14C6"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486</w:t>
            </w:r>
          </w:p>
        </w:tc>
        <w:tc>
          <w:tcPr>
            <w:tcW w:w="1233" w:type="dxa"/>
            <w:noWrap/>
            <w:hideMark/>
          </w:tcPr>
          <w:p w14:paraId="57B8AE0B"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456</w:t>
            </w:r>
          </w:p>
        </w:tc>
        <w:tc>
          <w:tcPr>
            <w:tcW w:w="1538" w:type="dxa"/>
            <w:noWrap/>
            <w:hideMark/>
          </w:tcPr>
          <w:p w14:paraId="62F9CC16"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704 892</w:t>
            </w:r>
          </w:p>
        </w:tc>
        <w:tc>
          <w:tcPr>
            <w:tcW w:w="1095" w:type="dxa"/>
            <w:noWrap/>
            <w:hideMark/>
          </w:tcPr>
          <w:p w14:paraId="24175E02"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82 038</w:t>
            </w:r>
          </w:p>
        </w:tc>
        <w:tc>
          <w:tcPr>
            <w:tcW w:w="1045" w:type="dxa"/>
            <w:noWrap/>
            <w:hideMark/>
          </w:tcPr>
          <w:p w14:paraId="2F7E296D"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6,35</w:t>
            </w:r>
          </w:p>
        </w:tc>
        <w:tc>
          <w:tcPr>
            <w:tcW w:w="1069" w:type="dxa"/>
            <w:noWrap/>
            <w:hideMark/>
          </w:tcPr>
          <w:p w14:paraId="16080501"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3,08</w:t>
            </w:r>
          </w:p>
        </w:tc>
        <w:tc>
          <w:tcPr>
            <w:tcW w:w="1180" w:type="dxa"/>
            <w:noWrap/>
            <w:hideMark/>
          </w:tcPr>
          <w:p w14:paraId="4CB4B900"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3,28</w:t>
            </w:r>
          </w:p>
        </w:tc>
      </w:tr>
      <w:tr w:rsidR="00130FD1" w:rsidRPr="00892DB5" w14:paraId="6278282E" w14:textId="77777777" w:rsidTr="0086054E">
        <w:trPr>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05349806"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2009</w:t>
            </w:r>
          </w:p>
        </w:tc>
        <w:tc>
          <w:tcPr>
            <w:tcW w:w="957" w:type="dxa"/>
            <w:noWrap/>
            <w:hideMark/>
          </w:tcPr>
          <w:p w14:paraId="4DB8C01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484</w:t>
            </w:r>
          </w:p>
        </w:tc>
        <w:tc>
          <w:tcPr>
            <w:tcW w:w="1233" w:type="dxa"/>
            <w:noWrap/>
            <w:hideMark/>
          </w:tcPr>
          <w:p w14:paraId="43AF49F7"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466</w:t>
            </w:r>
          </w:p>
        </w:tc>
        <w:tc>
          <w:tcPr>
            <w:tcW w:w="1538" w:type="dxa"/>
            <w:noWrap/>
            <w:hideMark/>
          </w:tcPr>
          <w:p w14:paraId="36B5675E"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621 182</w:t>
            </w:r>
          </w:p>
        </w:tc>
        <w:tc>
          <w:tcPr>
            <w:tcW w:w="1095" w:type="dxa"/>
            <w:noWrap/>
            <w:hideMark/>
          </w:tcPr>
          <w:p w14:paraId="684B446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76 963</w:t>
            </w:r>
          </w:p>
        </w:tc>
        <w:tc>
          <w:tcPr>
            <w:tcW w:w="1045" w:type="dxa"/>
            <w:noWrap/>
            <w:hideMark/>
          </w:tcPr>
          <w:p w14:paraId="2A8D3483"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7,07</w:t>
            </w:r>
          </w:p>
        </w:tc>
        <w:tc>
          <w:tcPr>
            <w:tcW w:w="1069" w:type="dxa"/>
            <w:noWrap/>
            <w:hideMark/>
          </w:tcPr>
          <w:p w14:paraId="0624456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4,18</w:t>
            </w:r>
          </w:p>
        </w:tc>
        <w:tc>
          <w:tcPr>
            <w:tcW w:w="1180" w:type="dxa"/>
            <w:noWrap/>
            <w:hideMark/>
          </w:tcPr>
          <w:p w14:paraId="38885D82"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2,89</w:t>
            </w:r>
          </w:p>
        </w:tc>
      </w:tr>
      <w:tr w:rsidR="00130FD1" w:rsidRPr="00892DB5" w14:paraId="2B477DC4"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36AA5264"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2010</w:t>
            </w:r>
          </w:p>
        </w:tc>
        <w:tc>
          <w:tcPr>
            <w:tcW w:w="957" w:type="dxa"/>
            <w:noWrap/>
            <w:hideMark/>
          </w:tcPr>
          <w:p w14:paraId="3F278C76"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654</w:t>
            </w:r>
          </w:p>
        </w:tc>
        <w:tc>
          <w:tcPr>
            <w:tcW w:w="1233" w:type="dxa"/>
            <w:noWrap/>
            <w:hideMark/>
          </w:tcPr>
          <w:p w14:paraId="6B44654E"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630</w:t>
            </w:r>
          </w:p>
        </w:tc>
        <w:tc>
          <w:tcPr>
            <w:tcW w:w="1538" w:type="dxa"/>
            <w:noWrap/>
            <w:hideMark/>
          </w:tcPr>
          <w:p w14:paraId="39EF4464"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755 117</w:t>
            </w:r>
          </w:p>
        </w:tc>
        <w:tc>
          <w:tcPr>
            <w:tcW w:w="1095" w:type="dxa"/>
            <w:noWrap/>
            <w:hideMark/>
          </w:tcPr>
          <w:p w14:paraId="2B1F8F44"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98 557</w:t>
            </w:r>
          </w:p>
        </w:tc>
        <w:tc>
          <w:tcPr>
            <w:tcW w:w="1045" w:type="dxa"/>
            <w:noWrap/>
            <w:hideMark/>
          </w:tcPr>
          <w:p w14:paraId="74C7DC7F"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7,01</w:t>
            </w:r>
          </w:p>
        </w:tc>
        <w:tc>
          <w:tcPr>
            <w:tcW w:w="1069" w:type="dxa"/>
            <w:noWrap/>
            <w:hideMark/>
          </w:tcPr>
          <w:p w14:paraId="3262E834"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4,50</w:t>
            </w:r>
          </w:p>
        </w:tc>
        <w:tc>
          <w:tcPr>
            <w:tcW w:w="1180" w:type="dxa"/>
            <w:noWrap/>
            <w:hideMark/>
          </w:tcPr>
          <w:p w14:paraId="1772D44E"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2,51</w:t>
            </w:r>
          </w:p>
        </w:tc>
      </w:tr>
      <w:tr w:rsidR="00130FD1" w:rsidRPr="00892DB5" w14:paraId="584CECB6" w14:textId="77777777" w:rsidTr="0086054E">
        <w:trPr>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70B0A257"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2011</w:t>
            </w:r>
          </w:p>
        </w:tc>
        <w:tc>
          <w:tcPr>
            <w:tcW w:w="957" w:type="dxa"/>
            <w:noWrap/>
            <w:hideMark/>
          </w:tcPr>
          <w:p w14:paraId="4350D127"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800</w:t>
            </w:r>
          </w:p>
        </w:tc>
        <w:tc>
          <w:tcPr>
            <w:tcW w:w="1233" w:type="dxa"/>
            <w:noWrap/>
            <w:hideMark/>
          </w:tcPr>
          <w:p w14:paraId="0E748E3A"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793</w:t>
            </w:r>
          </w:p>
        </w:tc>
        <w:tc>
          <w:tcPr>
            <w:tcW w:w="1538" w:type="dxa"/>
            <w:noWrap/>
            <w:hideMark/>
          </w:tcPr>
          <w:p w14:paraId="2880FE5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965 970</w:t>
            </w:r>
          </w:p>
        </w:tc>
        <w:tc>
          <w:tcPr>
            <w:tcW w:w="1095" w:type="dxa"/>
            <w:noWrap/>
            <w:hideMark/>
          </w:tcPr>
          <w:p w14:paraId="77AB37E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127 672</w:t>
            </w:r>
          </w:p>
        </w:tc>
        <w:tc>
          <w:tcPr>
            <w:tcW w:w="1045" w:type="dxa"/>
            <w:noWrap/>
            <w:hideMark/>
          </w:tcPr>
          <w:p w14:paraId="7E8DB937"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6,56</w:t>
            </w:r>
          </w:p>
        </w:tc>
        <w:tc>
          <w:tcPr>
            <w:tcW w:w="1069" w:type="dxa"/>
            <w:noWrap/>
            <w:hideMark/>
          </w:tcPr>
          <w:p w14:paraId="1E077AAE"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4,59</w:t>
            </w:r>
          </w:p>
        </w:tc>
        <w:tc>
          <w:tcPr>
            <w:tcW w:w="1180" w:type="dxa"/>
            <w:noWrap/>
            <w:hideMark/>
          </w:tcPr>
          <w:p w14:paraId="1FFA16E4"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1,97</w:t>
            </w:r>
          </w:p>
        </w:tc>
      </w:tr>
      <w:tr w:rsidR="00130FD1" w:rsidRPr="00892DB5" w14:paraId="2B5622E1"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1A21F1B0"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2012</w:t>
            </w:r>
          </w:p>
        </w:tc>
        <w:tc>
          <w:tcPr>
            <w:tcW w:w="957" w:type="dxa"/>
            <w:noWrap/>
            <w:hideMark/>
          </w:tcPr>
          <w:p w14:paraId="2341B22C"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1 230</w:t>
            </w:r>
          </w:p>
        </w:tc>
        <w:tc>
          <w:tcPr>
            <w:tcW w:w="1233" w:type="dxa"/>
            <w:noWrap/>
            <w:hideMark/>
          </w:tcPr>
          <w:p w14:paraId="2A5D1588"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1 203</w:t>
            </w:r>
          </w:p>
        </w:tc>
        <w:tc>
          <w:tcPr>
            <w:tcW w:w="1538" w:type="dxa"/>
            <w:noWrap/>
            <w:hideMark/>
          </w:tcPr>
          <w:p w14:paraId="500FCA30"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1 544 312</w:t>
            </w:r>
          </w:p>
        </w:tc>
        <w:tc>
          <w:tcPr>
            <w:tcW w:w="1095" w:type="dxa"/>
            <w:noWrap/>
            <w:hideMark/>
          </w:tcPr>
          <w:p w14:paraId="08CC6DBB"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180 431</w:t>
            </w:r>
          </w:p>
        </w:tc>
        <w:tc>
          <w:tcPr>
            <w:tcW w:w="1045" w:type="dxa"/>
            <w:noWrap/>
            <w:hideMark/>
          </w:tcPr>
          <w:p w14:paraId="259A4DB1"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5,88</w:t>
            </w:r>
          </w:p>
        </w:tc>
        <w:tc>
          <w:tcPr>
            <w:tcW w:w="1069" w:type="dxa"/>
            <w:noWrap/>
            <w:hideMark/>
          </w:tcPr>
          <w:p w14:paraId="2BA33FF7"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3,99</w:t>
            </w:r>
          </w:p>
        </w:tc>
        <w:tc>
          <w:tcPr>
            <w:tcW w:w="1180" w:type="dxa"/>
            <w:noWrap/>
            <w:hideMark/>
          </w:tcPr>
          <w:p w14:paraId="30D9B734"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1,88</w:t>
            </w:r>
          </w:p>
        </w:tc>
      </w:tr>
      <w:tr w:rsidR="00130FD1" w:rsidRPr="00892DB5" w14:paraId="2EFC3E52" w14:textId="77777777" w:rsidTr="0086054E">
        <w:trPr>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2284D52D"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2013</w:t>
            </w:r>
          </w:p>
        </w:tc>
        <w:tc>
          <w:tcPr>
            <w:tcW w:w="957" w:type="dxa"/>
            <w:noWrap/>
            <w:hideMark/>
          </w:tcPr>
          <w:p w14:paraId="5CF2E51B"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847</w:t>
            </w:r>
          </w:p>
        </w:tc>
        <w:tc>
          <w:tcPr>
            <w:tcW w:w="1233" w:type="dxa"/>
            <w:noWrap/>
            <w:hideMark/>
          </w:tcPr>
          <w:p w14:paraId="6D4C1AC4"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797</w:t>
            </w:r>
          </w:p>
        </w:tc>
        <w:tc>
          <w:tcPr>
            <w:tcW w:w="1538" w:type="dxa"/>
            <w:noWrap/>
            <w:hideMark/>
          </w:tcPr>
          <w:p w14:paraId="1BABC8DE"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1 050 501</w:t>
            </w:r>
          </w:p>
        </w:tc>
        <w:tc>
          <w:tcPr>
            <w:tcW w:w="1095" w:type="dxa"/>
            <w:noWrap/>
            <w:hideMark/>
          </w:tcPr>
          <w:p w14:paraId="2845A346"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85 254</w:t>
            </w:r>
          </w:p>
        </w:tc>
        <w:tc>
          <w:tcPr>
            <w:tcW w:w="1045" w:type="dxa"/>
            <w:noWrap/>
            <w:hideMark/>
          </w:tcPr>
          <w:p w14:paraId="129577DE"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4,57</w:t>
            </w:r>
          </w:p>
        </w:tc>
        <w:tc>
          <w:tcPr>
            <w:tcW w:w="1069" w:type="dxa"/>
            <w:noWrap/>
            <w:hideMark/>
          </w:tcPr>
          <w:p w14:paraId="0B244569"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2,87</w:t>
            </w:r>
          </w:p>
        </w:tc>
        <w:tc>
          <w:tcPr>
            <w:tcW w:w="1180" w:type="dxa"/>
            <w:noWrap/>
            <w:hideMark/>
          </w:tcPr>
          <w:p w14:paraId="098784B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1,70</w:t>
            </w:r>
          </w:p>
        </w:tc>
      </w:tr>
      <w:tr w:rsidR="00130FD1" w:rsidRPr="00892DB5" w14:paraId="57BE1877"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1DEFACB4"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2014</w:t>
            </w:r>
          </w:p>
        </w:tc>
        <w:tc>
          <w:tcPr>
            <w:tcW w:w="957" w:type="dxa"/>
            <w:noWrap/>
            <w:hideMark/>
          </w:tcPr>
          <w:p w14:paraId="0EC131DC"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740</w:t>
            </w:r>
          </w:p>
        </w:tc>
        <w:tc>
          <w:tcPr>
            <w:tcW w:w="1233" w:type="dxa"/>
            <w:noWrap/>
            <w:hideMark/>
          </w:tcPr>
          <w:p w14:paraId="24A28ECE"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699</w:t>
            </w:r>
          </w:p>
        </w:tc>
        <w:tc>
          <w:tcPr>
            <w:tcW w:w="1538" w:type="dxa"/>
            <w:noWrap/>
            <w:hideMark/>
          </w:tcPr>
          <w:p w14:paraId="0B4D2C10"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952 745</w:t>
            </w:r>
          </w:p>
        </w:tc>
        <w:tc>
          <w:tcPr>
            <w:tcW w:w="1095" w:type="dxa"/>
            <w:noWrap/>
            <w:hideMark/>
          </w:tcPr>
          <w:p w14:paraId="2AA01045"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76 881</w:t>
            </w:r>
          </w:p>
        </w:tc>
        <w:tc>
          <w:tcPr>
            <w:tcW w:w="1045" w:type="dxa"/>
            <w:noWrap/>
            <w:hideMark/>
          </w:tcPr>
          <w:p w14:paraId="599CF238"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4,35</w:t>
            </w:r>
          </w:p>
        </w:tc>
        <w:tc>
          <w:tcPr>
            <w:tcW w:w="1069" w:type="dxa"/>
            <w:noWrap/>
            <w:hideMark/>
          </w:tcPr>
          <w:p w14:paraId="75052F4C"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2,95</w:t>
            </w:r>
          </w:p>
        </w:tc>
        <w:tc>
          <w:tcPr>
            <w:tcW w:w="1180" w:type="dxa"/>
            <w:noWrap/>
            <w:hideMark/>
          </w:tcPr>
          <w:p w14:paraId="62F47875"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1,40</w:t>
            </w:r>
          </w:p>
        </w:tc>
      </w:tr>
      <w:tr w:rsidR="00130FD1" w:rsidRPr="00892DB5" w14:paraId="3D74E8C3" w14:textId="77777777" w:rsidTr="0086054E">
        <w:trPr>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32BD5FA7"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2015</w:t>
            </w:r>
          </w:p>
        </w:tc>
        <w:tc>
          <w:tcPr>
            <w:tcW w:w="957" w:type="dxa"/>
            <w:noWrap/>
            <w:hideMark/>
          </w:tcPr>
          <w:p w14:paraId="260B5C04"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519</w:t>
            </w:r>
          </w:p>
        </w:tc>
        <w:tc>
          <w:tcPr>
            <w:tcW w:w="1233" w:type="dxa"/>
            <w:noWrap/>
            <w:hideMark/>
          </w:tcPr>
          <w:p w14:paraId="1CD5D0D5"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495</w:t>
            </w:r>
          </w:p>
        </w:tc>
        <w:tc>
          <w:tcPr>
            <w:tcW w:w="1538" w:type="dxa"/>
            <w:noWrap/>
            <w:hideMark/>
          </w:tcPr>
          <w:p w14:paraId="51B94AE1"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725 948</w:t>
            </w:r>
          </w:p>
        </w:tc>
        <w:tc>
          <w:tcPr>
            <w:tcW w:w="1095" w:type="dxa"/>
            <w:noWrap/>
            <w:hideMark/>
          </w:tcPr>
          <w:p w14:paraId="4C7A68DD"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56 405</w:t>
            </w:r>
          </w:p>
        </w:tc>
        <w:tc>
          <w:tcPr>
            <w:tcW w:w="1045" w:type="dxa"/>
            <w:noWrap/>
            <w:hideMark/>
          </w:tcPr>
          <w:p w14:paraId="0F15B8E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3,92</w:t>
            </w:r>
          </w:p>
        </w:tc>
        <w:tc>
          <w:tcPr>
            <w:tcW w:w="1069" w:type="dxa"/>
            <w:noWrap/>
            <w:hideMark/>
          </w:tcPr>
          <w:p w14:paraId="4F6469B6"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2,74</w:t>
            </w:r>
          </w:p>
        </w:tc>
        <w:tc>
          <w:tcPr>
            <w:tcW w:w="1180" w:type="dxa"/>
            <w:noWrap/>
            <w:hideMark/>
          </w:tcPr>
          <w:p w14:paraId="5A38507E"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1,18</w:t>
            </w:r>
          </w:p>
        </w:tc>
      </w:tr>
      <w:tr w:rsidR="00130FD1" w:rsidRPr="00892DB5" w14:paraId="708A8D37"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49124566"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2016</w:t>
            </w:r>
          </w:p>
        </w:tc>
        <w:tc>
          <w:tcPr>
            <w:tcW w:w="957" w:type="dxa"/>
            <w:noWrap/>
            <w:hideMark/>
          </w:tcPr>
          <w:p w14:paraId="5CFD3B9C"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942</w:t>
            </w:r>
          </w:p>
        </w:tc>
        <w:tc>
          <w:tcPr>
            <w:tcW w:w="1233" w:type="dxa"/>
            <w:noWrap/>
            <w:hideMark/>
          </w:tcPr>
          <w:p w14:paraId="79E4BC8A"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867</w:t>
            </w:r>
          </w:p>
        </w:tc>
        <w:tc>
          <w:tcPr>
            <w:tcW w:w="1538" w:type="dxa"/>
            <w:noWrap/>
            <w:hideMark/>
          </w:tcPr>
          <w:p w14:paraId="5721F769"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1 318 828</w:t>
            </w:r>
          </w:p>
        </w:tc>
        <w:tc>
          <w:tcPr>
            <w:tcW w:w="1095" w:type="dxa"/>
            <w:noWrap/>
            <w:hideMark/>
          </w:tcPr>
          <w:p w14:paraId="4D1D6BF5"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101 848</w:t>
            </w:r>
          </w:p>
        </w:tc>
        <w:tc>
          <w:tcPr>
            <w:tcW w:w="1045" w:type="dxa"/>
            <w:noWrap/>
            <w:hideMark/>
          </w:tcPr>
          <w:p w14:paraId="7CC376A8"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3,63</w:t>
            </w:r>
          </w:p>
        </w:tc>
        <w:tc>
          <w:tcPr>
            <w:tcW w:w="1069" w:type="dxa"/>
            <w:noWrap/>
            <w:hideMark/>
          </w:tcPr>
          <w:p w14:paraId="71AC175F"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2,61</w:t>
            </w:r>
          </w:p>
        </w:tc>
        <w:tc>
          <w:tcPr>
            <w:tcW w:w="1180" w:type="dxa"/>
            <w:noWrap/>
            <w:hideMark/>
          </w:tcPr>
          <w:p w14:paraId="72097997"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1,02</w:t>
            </w:r>
          </w:p>
        </w:tc>
      </w:tr>
      <w:tr w:rsidR="00130FD1" w:rsidRPr="00892DB5" w14:paraId="1BE3D4B3" w14:textId="77777777" w:rsidTr="0086054E">
        <w:trPr>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0E585E76"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2017</w:t>
            </w:r>
          </w:p>
        </w:tc>
        <w:tc>
          <w:tcPr>
            <w:tcW w:w="957" w:type="dxa"/>
            <w:noWrap/>
            <w:hideMark/>
          </w:tcPr>
          <w:p w14:paraId="6F2C827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988</w:t>
            </w:r>
          </w:p>
        </w:tc>
        <w:tc>
          <w:tcPr>
            <w:tcW w:w="1233" w:type="dxa"/>
            <w:noWrap/>
            <w:hideMark/>
          </w:tcPr>
          <w:p w14:paraId="199733BB"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890</w:t>
            </w:r>
          </w:p>
        </w:tc>
        <w:tc>
          <w:tcPr>
            <w:tcW w:w="1538" w:type="dxa"/>
            <w:noWrap/>
            <w:hideMark/>
          </w:tcPr>
          <w:p w14:paraId="58A84E7F"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1 361 766</w:t>
            </w:r>
          </w:p>
        </w:tc>
        <w:tc>
          <w:tcPr>
            <w:tcW w:w="1095" w:type="dxa"/>
            <w:noWrap/>
            <w:hideMark/>
          </w:tcPr>
          <w:p w14:paraId="4BD83581"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115 000</w:t>
            </w:r>
          </w:p>
        </w:tc>
        <w:tc>
          <w:tcPr>
            <w:tcW w:w="1045" w:type="dxa"/>
            <w:noWrap/>
            <w:hideMark/>
          </w:tcPr>
          <w:p w14:paraId="408967C3"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3,28</w:t>
            </w:r>
          </w:p>
        </w:tc>
        <w:tc>
          <w:tcPr>
            <w:tcW w:w="1069" w:type="dxa"/>
            <w:noWrap/>
            <w:hideMark/>
          </w:tcPr>
          <w:p w14:paraId="725E6BC5"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2,56</w:t>
            </w:r>
          </w:p>
        </w:tc>
        <w:tc>
          <w:tcPr>
            <w:tcW w:w="1180" w:type="dxa"/>
            <w:noWrap/>
            <w:hideMark/>
          </w:tcPr>
          <w:p w14:paraId="2B594CCB" w14:textId="77777777" w:rsidR="00130FD1" w:rsidRPr="00892DB5" w:rsidRDefault="00130FD1" w:rsidP="0086054E">
            <w:pPr>
              <w:keepNext/>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sidRPr="00892DB5">
              <w:rPr>
                <w:rFonts w:eastAsia="Times New Roman"/>
                <w:sz w:val="20"/>
                <w:szCs w:val="20"/>
                <w:lang w:eastAsia="en-GB"/>
              </w:rPr>
              <w:t>0,72</w:t>
            </w:r>
          </w:p>
        </w:tc>
      </w:tr>
      <w:tr w:rsidR="00130FD1" w:rsidRPr="00892DB5" w14:paraId="4A992926" w14:textId="77777777" w:rsidTr="0086054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45" w:type="dxa"/>
            <w:noWrap/>
            <w:hideMark/>
          </w:tcPr>
          <w:p w14:paraId="0E639F69" w14:textId="77777777" w:rsidR="00130FD1" w:rsidRPr="00892DB5" w:rsidRDefault="00130FD1" w:rsidP="0086054E">
            <w:pPr>
              <w:keepNext/>
              <w:jc w:val="right"/>
              <w:rPr>
                <w:rFonts w:eastAsia="Times New Roman"/>
                <w:color w:val="auto"/>
                <w:sz w:val="20"/>
                <w:szCs w:val="20"/>
                <w:lang w:eastAsia="en-GB"/>
              </w:rPr>
            </w:pPr>
            <w:r w:rsidRPr="00892DB5">
              <w:rPr>
                <w:rFonts w:eastAsia="Times New Roman"/>
                <w:color w:val="auto"/>
                <w:sz w:val="20"/>
                <w:szCs w:val="20"/>
                <w:lang w:eastAsia="en-GB"/>
              </w:rPr>
              <w:t>Celkem</w:t>
            </w:r>
          </w:p>
        </w:tc>
        <w:tc>
          <w:tcPr>
            <w:tcW w:w="957" w:type="dxa"/>
            <w:shd w:val="clear" w:color="auto" w:fill="A5A5A5" w:themeFill="accent3"/>
            <w:noWrap/>
            <w:hideMark/>
          </w:tcPr>
          <w:p w14:paraId="1EE74475"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r w:rsidRPr="00892DB5">
              <w:rPr>
                <w:rFonts w:eastAsia="Times New Roman"/>
                <w:b/>
                <w:bCs/>
                <w:sz w:val="20"/>
                <w:szCs w:val="20"/>
                <w:lang w:eastAsia="en-GB"/>
              </w:rPr>
              <w:t>8 066</w:t>
            </w:r>
          </w:p>
        </w:tc>
        <w:tc>
          <w:tcPr>
            <w:tcW w:w="1233" w:type="dxa"/>
            <w:shd w:val="clear" w:color="auto" w:fill="A5A5A5" w:themeFill="accent3"/>
            <w:noWrap/>
            <w:hideMark/>
          </w:tcPr>
          <w:p w14:paraId="2939F0A8"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bookmarkStart w:id="130" w:name="_Hlk522267019"/>
            <w:r w:rsidRPr="00892DB5">
              <w:rPr>
                <w:rFonts w:eastAsia="Times New Roman"/>
                <w:b/>
                <w:bCs/>
                <w:sz w:val="20"/>
                <w:szCs w:val="20"/>
                <w:lang w:eastAsia="en-GB"/>
              </w:rPr>
              <w:t>7 649</w:t>
            </w:r>
            <w:bookmarkEnd w:id="130"/>
          </w:p>
        </w:tc>
        <w:tc>
          <w:tcPr>
            <w:tcW w:w="1538" w:type="dxa"/>
            <w:shd w:val="clear" w:color="auto" w:fill="A5A5A5" w:themeFill="accent3"/>
            <w:noWrap/>
            <w:hideMark/>
          </w:tcPr>
          <w:p w14:paraId="2ED220B1"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r w:rsidRPr="00892DB5">
              <w:rPr>
                <w:rFonts w:eastAsia="Times New Roman"/>
                <w:b/>
                <w:bCs/>
                <w:sz w:val="20"/>
                <w:szCs w:val="20"/>
                <w:lang w:eastAsia="en-GB"/>
              </w:rPr>
              <w:t>10 595 853</w:t>
            </w:r>
          </w:p>
        </w:tc>
        <w:tc>
          <w:tcPr>
            <w:tcW w:w="1095" w:type="dxa"/>
            <w:shd w:val="clear" w:color="auto" w:fill="A5A5A5" w:themeFill="accent3"/>
            <w:noWrap/>
            <w:hideMark/>
          </w:tcPr>
          <w:p w14:paraId="4E3D00F7"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r w:rsidRPr="00892DB5">
              <w:rPr>
                <w:rFonts w:eastAsia="Times New Roman"/>
                <w:b/>
                <w:bCs/>
                <w:sz w:val="20"/>
                <w:szCs w:val="20"/>
                <w:lang w:eastAsia="en-GB"/>
              </w:rPr>
              <w:t>1 105 870</w:t>
            </w:r>
          </w:p>
        </w:tc>
        <w:tc>
          <w:tcPr>
            <w:tcW w:w="1045" w:type="dxa"/>
            <w:shd w:val="clear" w:color="auto" w:fill="A5A5A5" w:themeFill="accent3"/>
            <w:noWrap/>
            <w:hideMark/>
          </w:tcPr>
          <w:p w14:paraId="155AD555"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r w:rsidRPr="00892DB5">
              <w:rPr>
                <w:rFonts w:eastAsia="Times New Roman"/>
                <w:b/>
                <w:bCs/>
                <w:sz w:val="20"/>
                <w:szCs w:val="20"/>
                <w:lang w:eastAsia="en-GB"/>
              </w:rPr>
              <w:t>5,43</w:t>
            </w:r>
          </w:p>
        </w:tc>
        <w:tc>
          <w:tcPr>
            <w:tcW w:w="1069" w:type="dxa"/>
            <w:shd w:val="clear" w:color="auto" w:fill="A5A5A5" w:themeFill="accent3"/>
            <w:noWrap/>
            <w:hideMark/>
          </w:tcPr>
          <w:p w14:paraId="58B6C9F0"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r w:rsidRPr="00892DB5">
              <w:rPr>
                <w:rFonts w:eastAsia="Times New Roman"/>
                <w:b/>
                <w:bCs/>
                <w:sz w:val="20"/>
                <w:szCs w:val="20"/>
                <w:lang w:eastAsia="en-GB"/>
              </w:rPr>
              <w:t>3,53</w:t>
            </w:r>
          </w:p>
        </w:tc>
        <w:tc>
          <w:tcPr>
            <w:tcW w:w="1180" w:type="dxa"/>
            <w:shd w:val="clear" w:color="auto" w:fill="A5A5A5" w:themeFill="accent3"/>
            <w:noWrap/>
            <w:hideMark/>
          </w:tcPr>
          <w:p w14:paraId="776DCE88" w14:textId="77777777" w:rsidR="00130FD1" w:rsidRPr="00892DB5" w:rsidRDefault="00130FD1" w:rsidP="0086054E">
            <w:pPr>
              <w:keepNext/>
              <w:jc w:val="right"/>
              <w:cnfStyle w:val="000000100000" w:firstRow="0" w:lastRow="0" w:firstColumn="0" w:lastColumn="0" w:oddVBand="0" w:evenVBand="0" w:oddHBand="1" w:evenHBand="0" w:firstRowFirstColumn="0" w:firstRowLastColumn="0" w:lastRowFirstColumn="0" w:lastRowLastColumn="0"/>
              <w:rPr>
                <w:rFonts w:eastAsia="Times New Roman"/>
                <w:b/>
                <w:bCs/>
                <w:sz w:val="20"/>
                <w:szCs w:val="20"/>
                <w:lang w:eastAsia="en-GB"/>
              </w:rPr>
            </w:pPr>
            <w:r w:rsidRPr="00892DB5">
              <w:rPr>
                <w:rFonts w:eastAsia="Times New Roman"/>
                <w:b/>
                <w:bCs/>
                <w:sz w:val="20"/>
                <w:szCs w:val="20"/>
                <w:lang w:eastAsia="en-GB"/>
              </w:rPr>
              <w:t>1,91</w:t>
            </w:r>
          </w:p>
        </w:tc>
      </w:tr>
    </w:tbl>
    <w:p w14:paraId="70CC6673" w14:textId="77777777" w:rsidR="00130FD1" w:rsidRPr="00445C7A" w:rsidRDefault="00130FD1" w:rsidP="00445C7A">
      <w:pPr>
        <w:pStyle w:val="Zdroj"/>
      </w:pPr>
      <w:r w:rsidRPr="00445C7A">
        <w:t>Zdroj: PGRLF (2018), vyžádaná data z ekonomického úseku</w:t>
      </w:r>
    </w:p>
    <w:p w14:paraId="6C834D33" w14:textId="77777777" w:rsidR="00130FD1" w:rsidRPr="00892DB5" w:rsidRDefault="00130FD1" w:rsidP="00445C7A">
      <w:pPr>
        <w:pStyle w:val="UZEINormaln"/>
      </w:pPr>
      <w:r w:rsidRPr="00892DB5">
        <w:t xml:space="preserve">Kromě specifického programu </w:t>
      </w:r>
      <w:r w:rsidRPr="00892DB5">
        <w:rPr>
          <w:i/>
        </w:rPr>
        <w:t>Zemědělec</w:t>
      </w:r>
      <w:r w:rsidRPr="00892DB5">
        <w:t xml:space="preserve"> existoval i program </w:t>
      </w:r>
      <w:r w:rsidRPr="00892DB5">
        <w:rPr>
          <w:i/>
        </w:rPr>
        <w:t>Zajištění úvěru</w:t>
      </w:r>
      <w:r w:rsidRPr="00892DB5">
        <w:t xml:space="preserve">, kterého se mohli zúčastnit všichni zemědělci. Jeho cílem bylo přispět k dostupnosti úvěrových prostředků na financování investičních záměrů zemědělských podnikatelů či podnikatelů zabývajících se zpracováním zemědělských produktů nebo subjektů působících v odvětví lesního hospodářství či zpracování dřeva. </w:t>
      </w:r>
    </w:p>
    <w:p w14:paraId="04358E73" w14:textId="05DBBDC5" w:rsidR="00130FD1" w:rsidRDefault="00130FD1" w:rsidP="00445C7A">
      <w:pPr>
        <w:pStyle w:val="UZEINormaln"/>
      </w:pPr>
      <w:r w:rsidRPr="00892DB5">
        <w:t xml:space="preserve">Od roku 2015 je poskytován nový podprogram nazvaný </w:t>
      </w:r>
      <w:r w:rsidRPr="00892DB5">
        <w:rPr>
          <w:i/>
        </w:rPr>
        <w:t>Podpora úročených úvěrů poskytovaných přímo PGRLF</w:t>
      </w:r>
      <w:r w:rsidRPr="00892DB5">
        <w:t xml:space="preserve">. Cílem podprogramu je zajistit financování menším projektům, jejichž žadatelé jsou vyloučeni z trhu v důsledku působení tržních nedokonalostí a nezískali by úvěrové prostředky na rozšíření podnikání z důvodu neexistence úvěrové historie. V letech 2015 a 2016 bylo zaevidováno 2 863 žádostí o úvěry a snížení jistiny, z čehož bylo v průběhu roku schváleno 638 žádostí v objemu úvěrů 536 mil. Kč a snížení jistiny v objemu 120 mil. Kč. Podpora na snížení jistiny nebo úroků z úvěru byla poskytována v režimu </w:t>
      </w:r>
      <w:r w:rsidRPr="00892DB5">
        <w:rPr>
          <w:i/>
        </w:rPr>
        <w:t>de minimis</w:t>
      </w:r>
      <w:r w:rsidRPr="00892DB5">
        <w:t>.</w:t>
      </w:r>
    </w:p>
    <w:p w14:paraId="5A0BF4EC" w14:textId="77777777" w:rsidR="00E27551" w:rsidRDefault="00E27551" w:rsidP="00130FD1">
      <w:pPr>
        <w:rPr>
          <w:lang w:val="cs-CZ"/>
        </w:rPr>
      </w:pPr>
    </w:p>
    <w:p w14:paraId="651F8B9E" w14:textId="063C1C0C" w:rsidR="00445C7A" w:rsidRDefault="00445C7A" w:rsidP="00130FD1">
      <w:pPr>
        <w:rPr>
          <w:lang w:val="cs-CZ"/>
        </w:rPr>
      </w:pPr>
    </w:p>
    <w:p w14:paraId="4B0C9E33" w14:textId="04CCC1E1" w:rsidR="00445C7A" w:rsidRDefault="00445C7A" w:rsidP="00130FD1">
      <w:pPr>
        <w:rPr>
          <w:lang w:val="cs-CZ"/>
        </w:rPr>
      </w:pPr>
    </w:p>
    <w:p w14:paraId="3E369541" w14:textId="3EDC5FF5" w:rsidR="00445C7A" w:rsidRDefault="00445C7A" w:rsidP="00130FD1">
      <w:pPr>
        <w:rPr>
          <w:lang w:val="cs-CZ"/>
        </w:rPr>
      </w:pPr>
    </w:p>
    <w:p w14:paraId="275A06CF" w14:textId="77777777" w:rsidR="00445C7A" w:rsidRPr="00892DB5" w:rsidRDefault="00445C7A" w:rsidP="00130FD1">
      <w:pPr>
        <w:rPr>
          <w:lang w:val="cs-CZ"/>
        </w:rPr>
      </w:pPr>
    </w:p>
    <w:p w14:paraId="15A67B11" w14:textId="6C0603CB" w:rsidR="00130FD1" w:rsidRPr="00892DB5" w:rsidRDefault="00130FD1" w:rsidP="00445C7A">
      <w:pPr>
        <w:pStyle w:val="UZEITaB"/>
      </w:pPr>
      <w:bookmarkStart w:id="131" w:name="_Toc35425693"/>
      <w:bookmarkStart w:id="132" w:name="_Toc81752001"/>
      <w:r w:rsidRPr="00892DB5">
        <w:lastRenderedPageBreak/>
        <w:t>Poskytnuté půjčky a úvěry – statistiky podle roků (údaje v tis. Kč)</w:t>
      </w:r>
      <w:bookmarkEnd w:id="131"/>
      <w:bookmarkEnd w:id="132"/>
    </w:p>
    <w:tbl>
      <w:tblPr>
        <w:tblStyle w:val="Tmavtabulkasmkou5zvraznn3"/>
        <w:tblW w:w="9062" w:type="dxa"/>
        <w:jc w:val="center"/>
        <w:tblLook w:val="04A0" w:firstRow="1" w:lastRow="0" w:firstColumn="1" w:lastColumn="0" w:noHBand="0" w:noVBand="1"/>
      </w:tblPr>
      <w:tblGrid>
        <w:gridCol w:w="889"/>
        <w:gridCol w:w="1091"/>
        <w:gridCol w:w="1276"/>
        <w:gridCol w:w="1790"/>
        <w:gridCol w:w="1301"/>
        <w:gridCol w:w="1419"/>
        <w:gridCol w:w="1296"/>
      </w:tblGrid>
      <w:tr w:rsidR="00130FD1" w:rsidRPr="00445C7A" w14:paraId="1B2AB717" w14:textId="77777777" w:rsidTr="0086054E">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889" w:type="dxa"/>
            <w:vAlign w:val="center"/>
          </w:tcPr>
          <w:p w14:paraId="2ECBF1E0" w14:textId="77777777" w:rsidR="00130FD1" w:rsidRPr="00445C7A" w:rsidRDefault="00130FD1" w:rsidP="0086054E">
            <w:pPr>
              <w:keepNext/>
              <w:jc w:val="center"/>
              <w:rPr>
                <w:color w:val="auto"/>
                <w:sz w:val="20"/>
                <w:szCs w:val="20"/>
              </w:rPr>
            </w:pPr>
          </w:p>
        </w:tc>
        <w:tc>
          <w:tcPr>
            <w:tcW w:w="2367" w:type="dxa"/>
            <w:gridSpan w:val="2"/>
            <w:vAlign w:val="center"/>
            <w:hideMark/>
          </w:tcPr>
          <w:p w14:paraId="610AE8C7" w14:textId="77777777" w:rsidR="00130FD1" w:rsidRPr="00445C7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445C7A">
              <w:rPr>
                <w:color w:val="auto"/>
                <w:sz w:val="20"/>
                <w:szCs w:val="20"/>
              </w:rPr>
              <w:t>Počet žádostí</w:t>
            </w:r>
          </w:p>
        </w:tc>
        <w:tc>
          <w:tcPr>
            <w:tcW w:w="1790" w:type="dxa"/>
            <w:vMerge w:val="restart"/>
            <w:vAlign w:val="center"/>
          </w:tcPr>
          <w:p w14:paraId="7A91024A" w14:textId="77777777" w:rsidR="00130FD1" w:rsidRPr="00445C7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445C7A">
              <w:rPr>
                <w:color w:val="auto"/>
                <w:sz w:val="20"/>
                <w:szCs w:val="20"/>
              </w:rPr>
              <w:t>Schválené půjčky (úvěry)</w:t>
            </w:r>
          </w:p>
        </w:tc>
        <w:tc>
          <w:tcPr>
            <w:tcW w:w="1301" w:type="dxa"/>
            <w:vMerge w:val="restart"/>
          </w:tcPr>
          <w:p w14:paraId="2811D595" w14:textId="77777777" w:rsidR="00130FD1" w:rsidRPr="00445C7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sz w:val="20"/>
                <w:szCs w:val="20"/>
              </w:rPr>
            </w:pPr>
            <w:r w:rsidRPr="00445C7A">
              <w:rPr>
                <w:color w:val="auto"/>
                <w:sz w:val="20"/>
                <w:szCs w:val="20"/>
              </w:rPr>
              <w:t>Čerpané půjčky (úvěry)</w:t>
            </w:r>
          </w:p>
        </w:tc>
        <w:tc>
          <w:tcPr>
            <w:tcW w:w="1419" w:type="dxa"/>
            <w:vMerge w:val="restart"/>
          </w:tcPr>
          <w:p w14:paraId="4F3B82FB" w14:textId="77777777" w:rsidR="00130FD1" w:rsidRPr="00445C7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445C7A">
              <w:rPr>
                <w:color w:val="auto"/>
                <w:sz w:val="20"/>
                <w:szCs w:val="20"/>
              </w:rPr>
              <w:t>Výše poskytnuté podpory</w:t>
            </w:r>
            <w:r w:rsidRPr="00445C7A">
              <w:rPr>
                <w:color w:val="auto"/>
                <w:sz w:val="20"/>
                <w:szCs w:val="20"/>
                <w:vertAlign w:val="superscript"/>
              </w:rPr>
              <w:t>**</w:t>
            </w:r>
          </w:p>
        </w:tc>
        <w:tc>
          <w:tcPr>
            <w:tcW w:w="1296" w:type="dxa"/>
            <w:vMerge w:val="restart"/>
          </w:tcPr>
          <w:p w14:paraId="391CA675" w14:textId="77777777" w:rsidR="00130FD1" w:rsidRPr="00445C7A" w:rsidRDefault="00130FD1" w:rsidP="0086054E">
            <w:pPr>
              <w:keepNext/>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445C7A">
              <w:rPr>
                <w:color w:val="auto"/>
                <w:sz w:val="20"/>
                <w:szCs w:val="20"/>
              </w:rPr>
              <w:t>Vyplacená podpora</w:t>
            </w:r>
          </w:p>
        </w:tc>
      </w:tr>
      <w:tr w:rsidR="00130FD1" w:rsidRPr="00445C7A" w14:paraId="0FEEB593" w14:textId="77777777" w:rsidTr="0086054E">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889" w:type="dxa"/>
            <w:vAlign w:val="center"/>
          </w:tcPr>
          <w:p w14:paraId="50BEA600" w14:textId="77777777" w:rsidR="00130FD1" w:rsidRPr="00445C7A" w:rsidRDefault="00130FD1" w:rsidP="0086054E">
            <w:pPr>
              <w:keepNext/>
              <w:jc w:val="center"/>
              <w:rPr>
                <w:sz w:val="20"/>
                <w:szCs w:val="20"/>
              </w:rPr>
            </w:pPr>
          </w:p>
        </w:tc>
        <w:tc>
          <w:tcPr>
            <w:tcW w:w="1091" w:type="dxa"/>
            <w:shd w:val="clear" w:color="auto" w:fill="A5A5A5" w:themeFill="accent3"/>
            <w:vAlign w:val="center"/>
          </w:tcPr>
          <w:p w14:paraId="3CF33421"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b/>
                <w:sz w:val="20"/>
                <w:szCs w:val="20"/>
              </w:rPr>
            </w:pPr>
            <w:r w:rsidRPr="00445C7A">
              <w:rPr>
                <w:b/>
                <w:sz w:val="20"/>
                <w:szCs w:val="20"/>
              </w:rPr>
              <w:t>Celkem</w:t>
            </w:r>
          </w:p>
        </w:tc>
        <w:tc>
          <w:tcPr>
            <w:tcW w:w="1276" w:type="dxa"/>
            <w:shd w:val="clear" w:color="auto" w:fill="A5A5A5" w:themeFill="accent3"/>
            <w:vAlign w:val="center"/>
          </w:tcPr>
          <w:p w14:paraId="59239F91"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b/>
                <w:sz w:val="20"/>
                <w:szCs w:val="20"/>
              </w:rPr>
            </w:pPr>
            <w:r w:rsidRPr="00445C7A">
              <w:rPr>
                <w:b/>
                <w:sz w:val="20"/>
                <w:szCs w:val="20"/>
              </w:rPr>
              <w:t>Schváleno</w:t>
            </w:r>
          </w:p>
        </w:tc>
        <w:tc>
          <w:tcPr>
            <w:tcW w:w="1790" w:type="dxa"/>
            <w:vMerge/>
            <w:vAlign w:val="center"/>
          </w:tcPr>
          <w:p w14:paraId="46AD65C0"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01" w:type="dxa"/>
            <w:vMerge/>
          </w:tcPr>
          <w:p w14:paraId="05255C0F"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419" w:type="dxa"/>
            <w:vMerge/>
          </w:tcPr>
          <w:p w14:paraId="05494EBF"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96" w:type="dxa"/>
            <w:vMerge/>
          </w:tcPr>
          <w:p w14:paraId="685E97B4"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130FD1" w:rsidRPr="00445C7A" w14:paraId="6E7CC674" w14:textId="77777777" w:rsidTr="0086054E">
        <w:trPr>
          <w:trHeight w:val="340"/>
          <w:jc w:val="center"/>
        </w:trPr>
        <w:tc>
          <w:tcPr>
            <w:cnfStyle w:val="001000000000" w:firstRow="0" w:lastRow="0" w:firstColumn="1" w:lastColumn="0" w:oddVBand="0" w:evenVBand="0" w:oddHBand="0" w:evenHBand="0" w:firstRowFirstColumn="0" w:firstRowLastColumn="0" w:lastRowFirstColumn="0" w:lastRowLastColumn="0"/>
            <w:tcW w:w="889" w:type="dxa"/>
            <w:vAlign w:val="center"/>
          </w:tcPr>
          <w:p w14:paraId="53B8926E" w14:textId="77777777" w:rsidR="00130FD1" w:rsidRPr="00445C7A" w:rsidRDefault="00130FD1" w:rsidP="0086054E">
            <w:pPr>
              <w:keepNext/>
              <w:jc w:val="center"/>
              <w:rPr>
                <w:sz w:val="20"/>
                <w:szCs w:val="20"/>
              </w:rPr>
            </w:pPr>
            <w:r w:rsidRPr="00445C7A">
              <w:rPr>
                <w:color w:val="auto"/>
                <w:sz w:val="20"/>
                <w:szCs w:val="20"/>
              </w:rPr>
              <w:t>2015</w:t>
            </w:r>
          </w:p>
        </w:tc>
        <w:tc>
          <w:tcPr>
            <w:tcW w:w="1091" w:type="dxa"/>
            <w:vAlign w:val="center"/>
          </w:tcPr>
          <w:p w14:paraId="6AD6717B" w14:textId="77777777" w:rsidR="00130FD1" w:rsidRPr="00445C7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vertAlign w:val="superscript"/>
              </w:rPr>
            </w:pPr>
            <w:r w:rsidRPr="00445C7A">
              <w:rPr>
                <w:sz w:val="20"/>
                <w:szCs w:val="20"/>
              </w:rPr>
              <w:t>98</w:t>
            </w:r>
            <w:r w:rsidRPr="00445C7A">
              <w:rPr>
                <w:sz w:val="20"/>
                <w:szCs w:val="20"/>
                <w:vertAlign w:val="superscript"/>
              </w:rPr>
              <w:t>*</w:t>
            </w:r>
          </w:p>
        </w:tc>
        <w:tc>
          <w:tcPr>
            <w:tcW w:w="1276" w:type="dxa"/>
            <w:vAlign w:val="center"/>
          </w:tcPr>
          <w:p w14:paraId="3FCC6EA0" w14:textId="77777777" w:rsidR="00130FD1" w:rsidRPr="00445C7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445C7A">
              <w:rPr>
                <w:sz w:val="20"/>
                <w:szCs w:val="20"/>
              </w:rPr>
              <w:t>46</w:t>
            </w:r>
            <w:r w:rsidRPr="00445C7A">
              <w:rPr>
                <w:sz w:val="20"/>
                <w:szCs w:val="20"/>
                <w:vertAlign w:val="superscript"/>
              </w:rPr>
              <w:t>*</w:t>
            </w:r>
          </w:p>
        </w:tc>
        <w:tc>
          <w:tcPr>
            <w:tcW w:w="1790" w:type="dxa"/>
            <w:vAlign w:val="center"/>
          </w:tcPr>
          <w:p w14:paraId="20BCBC2E" w14:textId="77777777" w:rsidR="00130FD1" w:rsidRPr="00445C7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445C7A">
              <w:rPr>
                <w:sz w:val="20"/>
                <w:szCs w:val="20"/>
              </w:rPr>
              <w:t>58 454</w:t>
            </w:r>
          </w:p>
        </w:tc>
        <w:tc>
          <w:tcPr>
            <w:tcW w:w="1301" w:type="dxa"/>
          </w:tcPr>
          <w:p w14:paraId="038BF234" w14:textId="77777777" w:rsidR="00130FD1" w:rsidRPr="00445C7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445C7A">
              <w:rPr>
                <w:sz w:val="20"/>
                <w:szCs w:val="20"/>
              </w:rPr>
              <w:t>0</w:t>
            </w:r>
          </w:p>
        </w:tc>
        <w:tc>
          <w:tcPr>
            <w:tcW w:w="1419" w:type="dxa"/>
          </w:tcPr>
          <w:p w14:paraId="2AD75EED" w14:textId="77777777" w:rsidR="00130FD1" w:rsidRPr="00445C7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445C7A">
              <w:rPr>
                <w:sz w:val="20"/>
                <w:szCs w:val="20"/>
              </w:rPr>
              <w:t>7 820</w:t>
            </w:r>
          </w:p>
        </w:tc>
        <w:tc>
          <w:tcPr>
            <w:tcW w:w="1296" w:type="dxa"/>
          </w:tcPr>
          <w:p w14:paraId="2361801E" w14:textId="77777777" w:rsidR="00130FD1" w:rsidRPr="00445C7A" w:rsidRDefault="00130FD1" w:rsidP="0086054E">
            <w:pPr>
              <w:keepNext/>
              <w:jc w:val="center"/>
              <w:cnfStyle w:val="000000000000" w:firstRow="0" w:lastRow="0" w:firstColumn="0" w:lastColumn="0" w:oddVBand="0" w:evenVBand="0" w:oddHBand="0" w:evenHBand="0" w:firstRowFirstColumn="0" w:firstRowLastColumn="0" w:lastRowFirstColumn="0" w:lastRowLastColumn="0"/>
              <w:rPr>
                <w:sz w:val="20"/>
                <w:szCs w:val="20"/>
              </w:rPr>
            </w:pPr>
            <w:r w:rsidRPr="00445C7A">
              <w:rPr>
                <w:sz w:val="20"/>
                <w:szCs w:val="20"/>
              </w:rPr>
              <w:t>0</w:t>
            </w:r>
          </w:p>
        </w:tc>
      </w:tr>
      <w:tr w:rsidR="00130FD1" w:rsidRPr="00445C7A" w14:paraId="3BC204ED" w14:textId="77777777" w:rsidTr="0086054E">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889" w:type="dxa"/>
            <w:vAlign w:val="center"/>
          </w:tcPr>
          <w:p w14:paraId="43D63BE3" w14:textId="77777777" w:rsidR="00130FD1" w:rsidRPr="00445C7A" w:rsidRDefault="00130FD1" w:rsidP="0086054E">
            <w:pPr>
              <w:keepNext/>
              <w:jc w:val="center"/>
              <w:rPr>
                <w:color w:val="auto"/>
                <w:sz w:val="20"/>
                <w:szCs w:val="20"/>
              </w:rPr>
            </w:pPr>
            <w:r w:rsidRPr="00445C7A">
              <w:rPr>
                <w:color w:val="auto"/>
                <w:sz w:val="20"/>
                <w:szCs w:val="20"/>
              </w:rPr>
              <w:t>2016</w:t>
            </w:r>
          </w:p>
        </w:tc>
        <w:tc>
          <w:tcPr>
            <w:tcW w:w="1091" w:type="dxa"/>
            <w:vAlign w:val="center"/>
            <w:hideMark/>
          </w:tcPr>
          <w:p w14:paraId="0CC4551A"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445C7A">
              <w:rPr>
                <w:sz w:val="20"/>
                <w:szCs w:val="20"/>
              </w:rPr>
              <w:t>3 890</w:t>
            </w:r>
            <w:r w:rsidRPr="00445C7A">
              <w:rPr>
                <w:sz w:val="20"/>
                <w:szCs w:val="20"/>
                <w:vertAlign w:val="superscript"/>
              </w:rPr>
              <w:t>*</w:t>
            </w:r>
          </w:p>
        </w:tc>
        <w:tc>
          <w:tcPr>
            <w:tcW w:w="1276" w:type="dxa"/>
            <w:vAlign w:val="center"/>
          </w:tcPr>
          <w:p w14:paraId="63016D8E"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445C7A">
              <w:rPr>
                <w:sz w:val="20"/>
                <w:szCs w:val="20"/>
              </w:rPr>
              <w:t>4 273</w:t>
            </w:r>
            <w:r w:rsidRPr="00445C7A">
              <w:rPr>
                <w:sz w:val="20"/>
                <w:szCs w:val="20"/>
                <w:vertAlign w:val="superscript"/>
              </w:rPr>
              <w:t>*</w:t>
            </w:r>
          </w:p>
        </w:tc>
        <w:tc>
          <w:tcPr>
            <w:tcW w:w="1790" w:type="dxa"/>
            <w:vAlign w:val="center"/>
          </w:tcPr>
          <w:p w14:paraId="48D4D9BF"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445C7A">
              <w:rPr>
                <w:sz w:val="20"/>
                <w:szCs w:val="20"/>
              </w:rPr>
              <w:t>4 289</w:t>
            </w:r>
          </w:p>
        </w:tc>
        <w:tc>
          <w:tcPr>
            <w:tcW w:w="1301" w:type="dxa"/>
          </w:tcPr>
          <w:p w14:paraId="28B24337"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445C7A">
              <w:rPr>
                <w:sz w:val="20"/>
                <w:szCs w:val="20"/>
              </w:rPr>
              <w:t>348 932</w:t>
            </w:r>
          </w:p>
        </w:tc>
        <w:tc>
          <w:tcPr>
            <w:tcW w:w="1419" w:type="dxa"/>
          </w:tcPr>
          <w:p w14:paraId="59C94BC0"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445C7A">
              <w:rPr>
                <w:sz w:val="20"/>
                <w:szCs w:val="20"/>
              </w:rPr>
              <w:t>111 814</w:t>
            </w:r>
          </w:p>
        </w:tc>
        <w:tc>
          <w:tcPr>
            <w:tcW w:w="1296" w:type="dxa"/>
          </w:tcPr>
          <w:p w14:paraId="1A6BFC7D" w14:textId="77777777" w:rsidR="00130FD1" w:rsidRPr="00445C7A" w:rsidRDefault="00130FD1" w:rsidP="0086054E">
            <w:pPr>
              <w:keepNext/>
              <w:jc w:val="center"/>
              <w:cnfStyle w:val="000000100000" w:firstRow="0" w:lastRow="0" w:firstColumn="0" w:lastColumn="0" w:oddVBand="0" w:evenVBand="0" w:oddHBand="1" w:evenHBand="0" w:firstRowFirstColumn="0" w:firstRowLastColumn="0" w:lastRowFirstColumn="0" w:lastRowLastColumn="0"/>
              <w:rPr>
                <w:sz w:val="20"/>
                <w:szCs w:val="20"/>
              </w:rPr>
            </w:pPr>
            <w:r w:rsidRPr="00445C7A">
              <w:rPr>
                <w:sz w:val="20"/>
                <w:szCs w:val="20"/>
              </w:rPr>
              <w:t>28 292</w:t>
            </w:r>
          </w:p>
        </w:tc>
      </w:tr>
    </w:tbl>
    <w:p w14:paraId="1D43D6CF" w14:textId="77777777" w:rsidR="00130FD1" w:rsidRPr="00892DB5" w:rsidRDefault="00130FD1" w:rsidP="00130FD1">
      <w:pPr>
        <w:pStyle w:val="TabPramZprac"/>
        <w:rPr>
          <w:rFonts w:ascii="Times New Roman" w:hAnsi="Times New Roman" w:cs="Times New Roman"/>
          <w:lang w:val="cs-CZ"/>
        </w:rPr>
      </w:pPr>
      <w:r w:rsidRPr="00892DB5">
        <w:rPr>
          <w:rFonts w:ascii="Times New Roman" w:hAnsi="Times New Roman" w:cs="Times New Roman"/>
          <w:lang w:val="cs-CZ"/>
        </w:rPr>
        <w:t>* součet počtu žádostí o úvěr a žádostí o poskytnutí podpory na snížení jistiny úvěru nebo úroků v režimu de minimis</w:t>
      </w:r>
    </w:p>
    <w:p w14:paraId="4E948D74" w14:textId="77777777" w:rsidR="00130FD1" w:rsidRPr="00892DB5" w:rsidRDefault="00130FD1" w:rsidP="00130FD1">
      <w:pPr>
        <w:pStyle w:val="TabPramZprac"/>
        <w:rPr>
          <w:rFonts w:ascii="Times New Roman" w:hAnsi="Times New Roman" w:cs="Times New Roman"/>
          <w:lang w:val="cs-CZ"/>
        </w:rPr>
      </w:pPr>
      <w:r w:rsidRPr="00892DB5">
        <w:rPr>
          <w:rFonts w:ascii="Times New Roman" w:hAnsi="Times New Roman" w:cs="Times New Roman"/>
          <w:lang w:val="cs-CZ"/>
        </w:rPr>
        <w:t>** poskytnutá podpora ve formě snížení jistiny nebo úroků z čerpaného úvěru (v režimu de minimis)</w:t>
      </w:r>
    </w:p>
    <w:p w14:paraId="399062F5" w14:textId="244F2CDE" w:rsidR="00E27551" w:rsidRPr="00892DB5" w:rsidRDefault="00130FD1" w:rsidP="00D818D6">
      <w:pPr>
        <w:pStyle w:val="Zdroj"/>
        <w:rPr>
          <w:lang w:eastAsia="cs-CZ"/>
        </w:rPr>
      </w:pPr>
      <w:r w:rsidRPr="00D818D6">
        <w:t>Zdroj: PGRLF (2016)</w:t>
      </w:r>
    </w:p>
    <w:p w14:paraId="03B43279" w14:textId="2B20E456" w:rsidR="00130FD1" w:rsidRPr="00892DB5" w:rsidRDefault="00130FD1" w:rsidP="00E27551">
      <w:pPr>
        <w:pStyle w:val="Nadpis3"/>
        <w:rPr>
          <w:lang w:val="cs-CZ"/>
        </w:rPr>
      </w:pPr>
      <w:bookmarkStart w:id="133" w:name="_Toc44409238"/>
      <w:bookmarkStart w:id="134" w:name="_Toc80347874"/>
      <w:bookmarkStart w:id="135" w:name="_Toc81752211"/>
      <w:r w:rsidRPr="00892DB5">
        <w:rPr>
          <w:lang w:val="cs-CZ"/>
        </w:rPr>
        <w:t>Daňové zvýhodnění</w:t>
      </w:r>
      <w:bookmarkEnd w:id="133"/>
      <w:bookmarkEnd w:id="134"/>
      <w:bookmarkEnd w:id="135"/>
    </w:p>
    <w:p w14:paraId="3300F29F" w14:textId="77777777" w:rsidR="00130FD1" w:rsidRPr="00892DB5" w:rsidRDefault="00130FD1" w:rsidP="00CC4B63">
      <w:pPr>
        <w:pStyle w:val="UZEINormaln"/>
      </w:pPr>
      <w:r w:rsidRPr="00892DB5">
        <w:t>Daň z převodu nemovitosti při předání podniku v rámci rodiny v případě průměrně velkého statku činila několik milionů korun. Mladí sedláci se tak mnohdy nemohli hospodářství ujmout a museli čekat na jeho převzetí v rámci dědictví osvobozeného od daně</w:t>
      </w:r>
      <w:r w:rsidRPr="00892DB5">
        <w:rPr>
          <w:rStyle w:val="Znakapoznpodarou"/>
        </w:rPr>
        <w:footnoteReference w:id="17"/>
      </w:r>
      <w:r w:rsidRPr="00892DB5">
        <w:t>. Rozdílný faktický a právní stav v osobě hospodáře pak způsoboval obrovské problémy v podnikání.</w:t>
      </w:r>
    </w:p>
    <w:p w14:paraId="46688D1C" w14:textId="77777777" w:rsidR="00130FD1" w:rsidRPr="00892DB5" w:rsidRDefault="00130FD1" w:rsidP="00CC4B63">
      <w:pPr>
        <w:pStyle w:val="UZEINormaln"/>
      </w:pPr>
      <w:r w:rsidRPr="00892DB5">
        <w:t>Osvobození od zdanění příjmu z převodu farmy na nabyvatele v rámci rodiny se v minulosti podařilo prosadit pouze v rámci dotačního titulu Předčasné ukončení zemědělské činnosti. Dlouhodobou snahou nevládních organizací však bylo rozšíření této daňové úlevy i mimo výše zmiňovaný program, obzvláště po jeho pozastavení v roce 2012. Toto daňové zvýhodnění se podařilo zavést od roku 2014.</w:t>
      </w:r>
    </w:p>
    <w:p w14:paraId="33FA52B9" w14:textId="77777777" w:rsidR="00130FD1" w:rsidRPr="00892DB5" w:rsidRDefault="00130FD1" w:rsidP="00CC4B63">
      <w:pPr>
        <w:pStyle w:val="UZEINormaln"/>
      </w:pPr>
      <w:r w:rsidRPr="00892DB5">
        <w:t>Předávání majetku z generace na generaci může usnadnit i zákon č. 254/2016 Sb. o daních z příjmu, kde § 3, ods. 4., písm. f. předmětem daně nejsou:</w:t>
      </w:r>
    </w:p>
    <w:p w14:paraId="25445E19" w14:textId="77777777" w:rsidR="00130FD1" w:rsidRPr="00892DB5" w:rsidRDefault="00130FD1" w:rsidP="00130FD1">
      <w:pPr>
        <w:ind w:left="709" w:right="992"/>
        <w:rPr>
          <w:i/>
          <w:lang w:val="cs-CZ"/>
        </w:rPr>
      </w:pPr>
      <w:r w:rsidRPr="00892DB5">
        <w:rPr>
          <w:rStyle w:val="PromnnHTML"/>
          <w:lang w:val="cs-CZ"/>
        </w:rPr>
        <w:t>f)</w:t>
      </w:r>
      <w:r w:rsidRPr="00892DB5">
        <w:rPr>
          <w:lang w:val="cs-CZ"/>
        </w:rPr>
        <w:t xml:space="preserve"> </w:t>
      </w:r>
      <w:r w:rsidRPr="00892DB5">
        <w:rPr>
          <w:i/>
          <w:lang w:val="cs-CZ"/>
        </w:rPr>
        <w:t>příjmy získané převodem majetku mezi osobami blízkými v souvislosti s ukončením provozování zemědělské činnosti zemědělského podnikatele, pokud osoba blízká v činnosti zemědělského podnikatele pokračuje alespoň do konce třetího zdaňovacího období následujícího po ukončení provozování zemědělské činnosti zemědělského podnikatele převádějícího tento majetek s výjimkou nepokračování v činnosti z důvodu smrti; při porušení této podmínky jsou tyto příjmy předmětem daně ve zdaňovacím období, kdy k převodu tohoto majetku došlo a má se za to, že poplatník není v prodlení, pokud podá daňové přiznání nebo dodatečné daňové přiznání a zaplatí daň nejpozději do dne, kdy je povinen podat daňové přiznání k dani za zdaňovací období, ve kterém nesplnil tuto podmínku.</w:t>
      </w:r>
    </w:p>
    <w:p w14:paraId="4ADAA538" w14:textId="77777777" w:rsidR="00130FD1" w:rsidRPr="00892DB5" w:rsidRDefault="00130FD1" w:rsidP="00CC4B63">
      <w:pPr>
        <w:pStyle w:val="UZEINormaln"/>
      </w:pPr>
      <w:r w:rsidRPr="00892DB5">
        <w:t>Problém převodu nemovitostí je ovlivněn i řadou sociálních faktorů, které nemohou být ovlivněny žádnou vnější politikou. Generační obměnu ovlivňují i trendy v životním stylu:</w:t>
      </w:r>
    </w:p>
    <w:p w14:paraId="410141C4" w14:textId="77777777" w:rsidR="00130FD1" w:rsidRPr="00892DB5" w:rsidRDefault="00130FD1" w:rsidP="00CC4B63">
      <w:pPr>
        <w:pStyle w:val="UZEIOdrky"/>
      </w:pPr>
      <w:r w:rsidRPr="00892DB5">
        <w:t xml:space="preserve">Návrat k alternativním způsobům života a zvýšení zájmu o farmaření na venkově a o samozásobitelské zemědělské aktivity. </w:t>
      </w:r>
    </w:p>
    <w:p w14:paraId="6844CFAC" w14:textId="77777777" w:rsidR="00130FD1" w:rsidRPr="00892DB5" w:rsidRDefault="00130FD1" w:rsidP="00CC4B63">
      <w:pPr>
        <w:pStyle w:val="UZEIOdrky"/>
      </w:pPr>
      <w:r w:rsidRPr="00892DB5">
        <w:t xml:space="preserve">Změna situace na venkovském trhu práce – zhoršení situace na trhu může působit na větší zájem o zemědělské zaměstnání s vyšším podílem kvalifikovaných uchazečů. </w:t>
      </w:r>
    </w:p>
    <w:p w14:paraId="32DFE0A9" w14:textId="473DD11F" w:rsidR="00130FD1" w:rsidRDefault="00130FD1" w:rsidP="00CC4B63">
      <w:pPr>
        <w:pStyle w:val="UZEIOdrky"/>
      </w:pPr>
      <w:r w:rsidRPr="00892DB5">
        <w:t>Demografický vývoj a nastavení pravidel pro odchod do důchodu (minimální věk, sankcionování či zvýhodňování předčasného odchodu do důchodu).</w:t>
      </w:r>
    </w:p>
    <w:p w14:paraId="298C6F53" w14:textId="77777777" w:rsidR="000F1F84" w:rsidRPr="00892DB5" w:rsidRDefault="000F1F84" w:rsidP="000F1F84">
      <w:pPr>
        <w:spacing w:after="120"/>
      </w:pPr>
    </w:p>
    <w:p w14:paraId="51BA91CE" w14:textId="2D6F11AA" w:rsidR="00130FD1" w:rsidRPr="00892DB5" w:rsidRDefault="00130FD1" w:rsidP="000F1F84">
      <w:pPr>
        <w:pStyle w:val="Nadpis3"/>
        <w:rPr>
          <w:lang w:val="cs-CZ"/>
        </w:rPr>
      </w:pPr>
      <w:bookmarkStart w:id="136" w:name="_Toc44409239"/>
      <w:bookmarkStart w:id="137" w:name="_Toc80347875"/>
      <w:bookmarkStart w:id="138" w:name="_Toc81752212"/>
      <w:r w:rsidRPr="00892DB5">
        <w:rPr>
          <w:lang w:val="cs-CZ"/>
        </w:rPr>
        <w:lastRenderedPageBreak/>
        <w:t>Národní dotace na poradenství a vzdělávání</w:t>
      </w:r>
      <w:bookmarkEnd w:id="136"/>
      <w:bookmarkEnd w:id="137"/>
      <w:bookmarkEnd w:id="138"/>
    </w:p>
    <w:p w14:paraId="7D786094" w14:textId="77777777" w:rsidR="00CC4B63" w:rsidRDefault="00130FD1" w:rsidP="00CC4B63">
      <w:pPr>
        <w:pStyle w:val="UZEINormaln"/>
      </w:pPr>
      <w:r w:rsidRPr="00892DB5">
        <w:t>Vhodným doplněním stávajících opatření v této oblasti může být i připravovaný výměnný program pro mladé zemědělce. Ten by pravděpodobně měl kombinovat teoretické a praktické školení se zaměřením na praxi ideálně v zemích, kde budou mít mladí zemědělci podobné klimatické podmínky jako ve vlastním regionu. (Ecorys, LEI a Aequator Groen &amp; Ruimte, 2015)</w:t>
      </w:r>
    </w:p>
    <w:p w14:paraId="0E1DF851" w14:textId="60844B59" w:rsidR="00130FD1" w:rsidRPr="00CC4B63" w:rsidRDefault="00CC4B63" w:rsidP="00CC4B63">
      <w:pPr>
        <w:spacing w:after="160" w:line="259" w:lineRule="auto"/>
        <w:jc w:val="left"/>
        <w:rPr>
          <w:rFonts w:eastAsia="Times New Roman" w:cstheme="minorHAnsi"/>
          <w:szCs w:val="24"/>
          <w:lang w:val="cs-CZ" w:eastAsia="cs-CZ"/>
        </w:rPr>
      </w:pPr>
      <w:r>
        <w:br w:type="page"/>
      </w:r>
    </w:p>
    <w:p w14:paraId="6C89EE48" w14:textId="542E676F" w:rsidR="00D832A5" w:rsidRPr="00892DB5" w:rsidRDefault="00D832A5" w:rsidP="006752D6">
      <w:pPr>
        <w:pStyle w:val="Nadpis1"/>
      </w:pPr>
      <w:bookmarkStart w:id="139" w:name="_Toc80347915"/>
      <w:bookmarkStart w:id="140" w:name="_Toc81752213"/>
      <w:r w:rsidRPr="00892DB5">
        <w:lastRenderedPageBreak/>
        <w:t>Jak by se situace vyvíjela bez zavedení příslušných intervencí?</w:t>
      </w:r>
      <w:bookmarkEnd w:id="139"/>
      <w:bookmarkEnd w:id="140"/>
    </w:p>
    <w:p w14:paraId="02872816" w14:textId="77777777" w:rsidR="00D832A5" w:rsidRPr="00892DB5" w:rsidRDefault="00D832A5" w:rsidP="00477EC6">
      <w:pPr>
        <w:pStyle w:val="UZEINormaln"/>
      </w:pPr>
      <w:r w:rsidRPr="00892DB5">
        <w:t>Vzhledem k obecnému demografickému vývoji, kdy se zvyšuje počet starších věkových generací a rodí se méně dětí, než je potřeba pro zachování prosté reprodukce, je obtížné zajistit generační obměnu v mnoha odvětvích národního hospodářství. V zemědělství je z důvodů uvedených výše situace ještě obtížnější. Je pravděpodobné, že bez zavedení dotací na podporu mladých zemědělců by jich vstupovalo do sektoru méně, případně by vstupovali později. Podle zjištění Ekotoxa a Ireas (2016) podpora z PRV 2007–2013 představovala významnou položku v cizích zdrojích začínajících zemědělců. Zdroje mimo PRV se podílely na celkových výdajích podpořených projektů cca 41,7 % (tj. rozdíl mezi celkovými výdaji a podporou). Zároveň bylo možné pozorovat nárůst tohoto podílu v čase, kdy žadatelé byli úspěšně motivováni k vyšší míře spolufinancování s využitím preferenčních kritérií.</w:t>
      </w:r>
    </w:p>
    <w:p w14:paraId="16198513" w14:textId="77777777" w:rsidR="00D832A5" w:rsidRPr="00892DB5" w:rsidRDefault="00D832A5" w:rsidP="00477EC6">
      <w:pPr>
        <w:pStyle w:val="UZEINormaln"/>
      </w:pPr>
      <w:r w:rsidRPr="00892DB5">
        <w:t>Přesto, že mnoho zemědělců již může být do činnosti farmy zapojeno před založením / převzetím podniku (KPMG (2016) uvádí, že to bylo 132 ze 170 (78 %) dotazovaných příjemců z opatření I.3.2 – Zahájení činnosti mladých zemědělců), právě dotace může být hlavním motivem pro převzetí podniku a zahájení samostatné činnosti (podle KPMG bylo hlavním motivem získání dotací pro 62 % dotazovaných – odpovědi rozhodně souhlasím a spíše souhlasím, 22 % s tímto tvrzením spíše nesouhlasilo a 16 % rozhodně nesouhlasilo). Dotace na podporu mladých začínajících zemědělců v 56 % rozhodně a v 34 % spíše ano usnadnila zahájení vlastní podnikatelské činnosti v zemědělství. Pouze 6 % spíše nesouhlasilo a 5 % rozhodně nesouhlasilo s tímto tvrzením. Dotace na podporu mladých začínajících zemědělců navíc ve většině případů (72 %) usnadnila provést potřebné úpravy a změny ve struktuře hospodářství, které dotyčný/á převzal/a.</w:t>
      </w:r>
    </w:p>
    <w:p w14:paraId="6C12DC67" w14:textId="77777777" w:rsidR="00D832A5" w:rsidRPr="00892DB5" w:rsidRDefault="00D832A5" w:rsidP="00477EC6">
      <w:pPr>
        <w:pStyle w:val="UZEINormaln"/>
      </w:pPr>
      <w:r w:rsidRPr="00892DB5">
        <w:t xml:space="preserve">Jak vyplývá z výše uvedených analýz, při zahájení podnikání se mladý zemědělec potýká s řadou bariér v oblasti nákupu půdy, investic do hmotného majetku, administrativy aj. Mladí začínající zemědělci mají zhoršený přístup k financím na zahájení i rozvoj podniku, kvůli vyšší rizikovosti podnikání, nižší kumulaci vlastních zdrojů, nedostatku zkušeností apod. Proto je v případě podpory investic role SZP velmi výrazná, na což poukazuje vysoký zájem příjemců z opatření na zahájení činnosti i investičních opatření. Bez zavedení dotací by k předání nebo zahájení činnosti mladých zemědělců pravděpodobně docházelo později nebo vůbec a rozvoj nových nebo převzatých podniků mladých zemědělců by byl mnohem obtížnější. Zemědělci by se obtížněji dostávali k financím. Jedinou alternativou by zůstala současná podpora formou dotací úroků z úvěrů poskytovaná PGRLF, případně i další nástroje PGRLF, které ale nemají potenciál pokrýt potřebný počet zájemců, ani jejich poptávku v plné výši (omezení </w:t>
      </w:r>
      <w:r w:rsidRPr="00892DB5">
        <w:rPr>
          <w:i/>
        </w:rPr>
        <w:t>de minimis)</w:t>
      </w:r>
      <w:r w:rsidRPr="00892DB5">
        <w:t>.</w:t>
      </w:r>
    </w:p>
    <w:p w14:paraId="2A9E5C99" w14:textId="77777777" w:rsidR="00D832A5" w:rsidRPr="00892DB5" w:rsidRDefault="00D832A5" w:rsidP="00477EC6">
      <w:pPr>
        <w:pStyle w:val="UZEINormaln"/>
      </w:pPr>
      <w:r w:rsidRPr="00892DB5">
        <w:t>Z analýzy vývoje průměrné výměry registrované v LPIS u podniků mladých začínajících zemědělců nově podpořených doplňkovými přímými platbami vyplynulo, že průměrná výměra podpořených podniků v rámci doplňkové platby pro mladé zemědělce meziročně vždy rostla (např. u podpořených v roce 2015 vzrostla z průměrných 23 ha v roce 2015 na 25 v roce 2016 a 26,4 ha v roce 2017). Ze vzorku je dále patrné, že nepodpoření mladí mají v průměru nižší výměru než podpoření. Průměrná podpořená výměra jednoho podniku se zvyšovala, stejně jako průměrná výměra nepodpořeného podniku. Průměrná výměra zapsaná v LPIS roste u obou kategorií – např.  podpoření v roce 2016 měli průměrnou výměru registrovanou v LPIS 18,6 ha, která narostla v roce 2018 na 119 % původní hodnoty, ale za stejné období došlo k růstu také u nepodpořených také rostla – a to dokonce na 121 % původní hodnoty. U podpořených vs. nepodpořených v roce 2017 byla ale situace obrácená. Podniky bez doplňkové podpory příjmů pro mladé zemědělce nerostly tak rychle. Nelze tedy učinit jednoznačný závěr o tom, že se nepodpořené podniky vyvíjí méně dynamicky, než podniky podpořené.</w:t>
      </w:r>
    </w:p>
    <w:p w14:paraId="185312C1" w14:textId="77777777" w:rsidR="00D832A5" w:rsidRPr="00892DB5" w:rsidRDefault="00D832A5" w:rsidP="00477EC6">
      <w:pPr>
        <w:pStyle w:val="UZEINormaln"/>
      </w:pPr>
      <w:r w:rsidRPr="00892DB5">
        <w:lastRenderedPageBreak/>
        <w:t>Je nutné ale zdůraznit, že pro přesné porovnání stavu bez SZP by bylo zapotřebí provést kontrafaktuální analýzu, pro kterou ale nejsou dostatečná data o podnicích mladých začínajících zemědělců, které nepřijali dotace.</w:t>
      </w:r>
    </w:p>
    <w:p w14:paraId="3C711744" w14:textId="5CABA3A7" w:rsidR="00130FD1" w:rsidRPr="00892DB5" w:rsidRDefault="00477EC6" w:rsidP="00477EC6">
      <w:pPr>
        <w:spacing w:after="160" w:line="259" w:lineRule="auto"/>
        <w:jc w:val="left"/>
        <w:rPr>
          <w:lang w:val="cs-CZ"/>
        </w:rPr>
      </w:pPr>
      <w:r>
        <w:rPr>
          <w:lang w:val="cs-CZ"/>
        </w:rPr>
        <w:br w:type="page"/>
      </w:r>
    </w:p>
    <w:p w14:paraId="7E96670F" w14:textId="2F0D75FC" w:rsidR="006E47F1" w:rsidRPr="00892DB5" w:rsidRDefault="006E47F1" w:rsidP="000F1F84">
      <w:pPr>
        <w:pStyle w:val="Nadpis1"/>
      </w:pPr>
      <w:bookmarkStart w:id="141" w:name="_Toc81752214"/>
      <w:r w:rsidRPr="00892DB5">
        <w:lastRenderedPageBreak/>
        <w:t>SWOT analýza</w:t>
      </w:r>
      <w:bookmarkEnd w:id="141"/>
    </w:p>
    <w:p w14:paraId="6AFCA255" w14:textId="4E02A7CE" w:rsidR="006E47F1" w:rsidRPr="00892DB5" w:rsidRDefault="006E47F1" w:rsidP="000F1F84">
      <w:pPr>
        <w:pStyle w:val="Nadpis2"/>
      </w:pPr>
      <w:bookmarkStart w:id="142" w:name="_Toc80347835"/>
      <w:bookmarkStart w:id="143" w:name="_Toc81752215"/>
      <w:r w:rsidRPr="00892DB5">
        <w:t>Silné stránky</w:t>
      </w:r>
      <w:bookmarkEnd w:id="142"/>
      <w:bookmarkEnd w:id="143"/>
    </w:p>
    <w:p w14:paraId="78EC88B1" w14:textId="6640863A" w:rsidR="006E47F1" w:rsidRPr="00892DB5" w:rsidRDefault="00073C13" w:rsidP="00073C13">
      <w:pPr>
        <w:pStyle w:val="UZEIOdrky"/>
      </w:pPr>
      <w:r>
        <w:t xml:space="preserve">S1: </w:t>
      </w:r>
      <w:r w:rsidR="006E47F1" w:rsidRPr="00892DB5">
        <w:t>Technická a technologická úroveň vybavení značné části zemědělských podniků je obdobná jako v ostatních zemích EU a neustále se obnovuje, zejména v rostlinné výrobě, což vytváří atraktivní podmínky pro vstup mladých zemědělců do odvětví</w:t>
      </w:r>
      <w:r w:rsidR="006F1E2C">
        <w:t>.</w:t>
      </w:r>
    </w:p>
    <w:p w14:paraId="2544EB35" w14:textId="546A4592" w:rsidR="006E47F1" w:rsidRPr="00892DB5" w:rsidRDefault="00073C13" w:rsidP="00073C13">
      <w:pPr>
        <w:pStyle w:val="UZEIOdrky"/>
      </w:pPr>
      <w:bookmarkStart w:id="144" w:name="_Hlk525566475"/>
      <w:r>
        <w:t xml:space="preserve">S2: </w:t>
      </w:r>
      <w:r w:rsidR="006E47F1" w:rsidRPr="00892DB5">
        <w:t>Na velké části ploch zemědělské/orné půdy lze efektivně využívat moderní výkonnou techniku (není tak limitováno její zavádění), což vytváří atraktivní podmínky pro hospodaření mladých zemědělců</w:t>
      </w:r>
      <w:r w:rsidR="006F1E2C">
        <w:t>.</w:t>
      </w:r>
    </w:p>
    <w:bookmarkEnd w:id="144"/>
    <w:p w14:paraId="6000224C" w14:textId="0BFBDE77" w:rsidR="006E47F1" w:rsidRPr="00892DB5" w:rsidRDefault="00073C13" w:rsidP="00073C13">
      <w:pPr>
        <w:pStyle w:val="UZEIOdrky"/>
      </w:pPr>
      <w:r>
        <w:t xml:space="preserve">S3: </w:t>
      </w:r>
      <w:r w:rsidR="006E47F1" w:rsidRPr="00892DB5">
        <w:t>Vzdělanostní struktura zemědělských manažerů se zlepšuje (dle Eurostatu narůstá podíl pracovníků s úplným středním vzděláním zakončeným maturitou, a s vyšším a vysokoškolským vzděláním z 25,2 % v roce 2005 na 38,7 % v roce 2016, zatímco se snižuje podíl manažerů pouze s praktickými zkušenostmi z 55,3 % na 42,8 %)</w:t>
      </w:r>
      <w:r w:rsidR="006F1E2C">
        <w:t>.</w:t>
      </w:r>
    </w:p>
    <w:p w14:paraId="68564D16" w14:textId="58922856" w:rsidR="006E47F1" w:rsidRPr="00892DB5" w:rsidRDefault="00073C13" w:rsidP="00073C13">
      <w:pPr>
        <w:pStyle w:val="UZEIOdrky"/>
      </w:pPr>
      <w:r>
        <w:t xml:space="preserve">S4: </w:t>
      </w:r>
      <w:r w:rsidR="006E47F1" w:rsidRPr="00892DB5">
        <w:t>Zemědělství a venkov nabízí specifické pracovní prostředí, které může lákat část mladých lidí ke vstupu do odvětví</w:t>
      </w:r>
      <w:r w:rsidR="006F1E2C">
        <w:t>.</w:t>
      </w:r>
    </w:p>
    <w:p w14:paraId="51D838FB" w14:textId="362FC11B" w:rsidR="006E47F1" w:rsidRPr="00892DB5" w:rsidRDefault="00073C13" w:rsidP="00073C13">
      <w:pPr>
        <w:pStyle w:val="UZEIOdrky"/>
      </w:pPr>
      <w:r>
        <w:t xml:space="preserve">S5: </w:t>
      </w:r>
      <w:r w:rsidR="006E47F1" w:rsidRPr="00892DB5">
        <w:t>Mnoho mladých zemědělců zemědělství baví a jsou ochotni hospodařit i ve ztížených nebo ne úplně příznivých podmínkách</w:t>
      </w:r>
      <w:r w:rsidR="006F1E2C">
        <w:t>.</w:t>
      </w:r>
    </w:p>
    <w:p w14:paraId="6F0EE44D" w14:textId="610FE786" w:rsidR="006E47F1" w:rsidRPr="00892DB5" w:rsidRDefault="00073C13" w:rsidP="00073C13">
      <w:pPr>
        <w:pStyle w:val="UZEIOdrky"/>
      </w:pPr>
      <w:r>
        <w:t xml:space="preserve">S6: </w:t>
      </w:r>
      <w:r w:rsidR="006E47F1" w:rsidRPr="00892DB5">
        <w:t>Osvobození od zdanění příjmu z převodu zemědělského podniku na nabyvatele v rámci rodiny</w:t>
      </w:r>
      <w:r w:rsidR="006F1E2C">
        <w:t>.</w:t>
      </w:r>
    </w:p>
    <w:p w14:paraId="29594620" w14:textId="3A31DACB" w:rsidR="006E47F1" w:rsidRPr="00892DB5" w:rsidRDefault="00073C13" w:rsidP="00073C13">
      <w:pPr>
        <w:pStyle w:val="UZEIOdrky"/>
      </w:pPr>
      <w:r>
        <w:t xml:space="preserve">S7: </w:t>
      </w:r>
      <w:r w:rsidR="006E47F1" w:rsidRPr="00892DB5">
        <w:t>Zkušenost s čerpáním finanční podpory z národních zdrojů a zdrojů EU: dotace z PRV na zahájení činnosti pro mladé zemědělce, dotace na investice z PRV, vyšší platba SAPS pro mladé zemědělce v rámci 1. pilíře, podpora úroků z úvěrů PGRLF, garance úvěrů PGRLF, investiční úvěry od PGRLF (zkoumají žádosti více individuálně, větší pravděpodobnost, že akceptují žádost i od zemědělce bez dlouhé podnikatelské historie)</w:t>
      </w:r>
      <w:r w:rsidR="006F1E2C">
        <w:t>.</w:t>
      </w:r>
    </w:p>
    <w:p w14:paraId="60E3FFAE" w14:textId="25A372CB" w:rsidR="006E47F1" w:rsidRPr="00892DB5" w:rsidRDefault="00073C13" w:rsidP="00073C13">
      <w:pPr>
        <w:pStyle w:val="UZEIOdrky"/>
      </w:pPr>
      <w:r>
        <w:t xml:space="preserve">S8: </w:t>
      </w:r>
      <w:r w:rsidR="006E47F1" w:rsidRPr="00892DB5">
        <w:t>Plánované zjednodušení SZP a administrativy spojené se získáním, respektive proplácením dotace pro mladé zemědělce</w:t>
      </w:r>
      <w:r w:rsidR="006F1E2C">
        <w:t>.</w:t>
      </w:r>
    </w:p>
    <w:p w14:paraId="6B727D2C" w14:textId="0D59B48E" w:rsidR="006E47F1" w:rsidRPr="00892DB5" w:rsidRDefault="00073C13" w:rsidP="00073C13">
      <w:pPr>
        <w:pStyle w:val="UZEIOdrky"/>
      </w:pPr>
      <w:r>
        <w:t xml:space="preserve">S9: </w:t>
      </w:r>
      <w:r w:rsidR="006E47F1" w:rsidRPr="00892DB5">
        <w:t>Opatření Pozemkové úpravy, které může usnadnit přístup mladých zemědělců k</w:t>
      </w:r>
      <w:r w:rsidR="006F1E2C">
        <w:t> </w:t>
      </w:r>
      <w:r w:rsidR="006E47F1" w:rsidRPr="00892DB5">
        <w:t>půdě</w:t>
      </w:r>
      <w:r w:rsidR="006F1E2C">
        <w:t>.</w:t>
      </w:r>
    </w:p>
    <w:p w14:paraId="2238DF65" w14:textId="1F3384CD" w:rsidR="006E47F1" w:rsidRPr="00892DB5" w:rsidRDefault="006E47F1" w:rsidP="000F1F84">
      <w:pPr>
        <w:pStyle w:val="Nadpis2"/>
      </w:pPr>
      <w:bookmarkStart w:id="145" w:name="_Toc80347836"/>
      <w:bookmarkStart w:id="146" w:name="_Toc81752216"/>
      <w:r w:rsidRPr="00892DB5">
        <w:t>Slabé stránky</w:t>
      </w:r>
      <w:bookmarkEnd w:id="145"/>
      <w:bookmarkEnd w:id="146"/>
    </w:p>
    <w:p w14:paraId="7ADEFA6F" w14:textId="09BA2B42" w:rsidR="006E47F1" w:rsidRPr="00892DB5" w:rsidRDefault="00073C13" w:rsidP="00073C13">
      <w:pPr>
        <w:pStyle w:val="UZEIOdrky"/>
      </w:pPr>
      <w:r>
        <w:t xml:space="preserve">W1: </w:t>
      </w:r>
      <w:r w:rsidR="006E47F1" w:rsidRPr="00892DB5">
        <w:t>Nepříznivá věková struktura v sektoru – zejména nízký podíl nejmladších věkových skupin (dle Eurostatu byl v roce 2016 podíl zemědělců do 40 let ve výši 10,2 %) a vysoký podíl věkových skupin nejstarších (vedoucích nad 65 let bylo v roce 2016 dle Eurostatu 26,8 %).</w:t>
      </w:r>
    </w:p>
    <w:p w14:paraId="573A5EDF" w14:textId="59432982" w:rsidR="006E47F1" w:rsidRPr="00892DB5" w:rsidRDefault="00073C13" w:rsidP="00073C13">
      <w:pPr>
        <w:pStyle w:val="UZEIOdrky"/>
      </w:pPr>
      <w:bookmarkStart w:id="147" w:name="_Hlk5103915"/>
      <w:r>
        <w:t xml:space="preserve">W2: </w:t>
      </w:r>
      <w:r w:rsidR="006E47F1" w:rsidRPr="00892DB5">
        <w:t xml:space="preserve">U mladých začínajících zemědělců (aproximovaných malými podniky dle klasifikace FADN) je důchod ze zemědělské činnosti (neplacenou pracovní sílu) nižší než v ostatních kategoriích zemědělských podniků (v roce 2016 dle FADN činil 8 792 Kč/ha a 203 008 Kč/FWU, zatímco u středních podniků byl 9 355 Kč/ha a 616 991 Kč/FWU). </w:t>
      </w:r>
      <w:bookmarkEnd w:id="147"/>
    </w:p>
    <w:p w14:paraId="7556763D" w14:textId="4570728B" w:rsidR="006E47F1" w:rsidRPr="00892DB5" w:rsidRDefault="00073C13" w:rsidP="00073C13">
      <w:pPr>
        <w:pStyle w:val="UZEIOdrky"/>
      </w:pPr>
      <w:r>
        <w:t xml:space="preserve">W3: </w:t>
      </w:r>
      <w:r w:rsidR="006E47F1" w:rsidRPr="00892DB5">
        <w:t>Nesnadný a nedostatečný přístup k půdě mladých začínajících zemědělců (dle ÚZEI, Zpráva o stavu zemědělství se v letech 2006 až 2017 zvýšila trojnásobně (z 4,7 Kč/m</w:t>
      </w:r>
      <w:r w:rsidR="006E47F1" w:rsidRPr="00892DB5">
        <w:rPr>
          <w:vertAlign w:val="superscript"/>
        </w:rPr>
        <w:t>2</w:t>
      </w:r>
      <w:r w:rsidR="006E47F1" w:rsidRPr="00892DB5">
        <w:t xml:space="preserve">  na 15,9 Kč/m</w:t>
      </w:r>
      <w:r w:rsidR="006E47F1" w:rsidRPr="00892DB5">
        <w:rPr>
          <w:vertAlign w:val="superscript"/>
        </w:rPr>
        <w:t>2</w:t>
      </w:r>
      <w:r w:rsidR="006E47F1" w:rsidRPr="00892DB5">
        <w:t xml:space="preserve"> v roce 2017)</w:t>
      </w:r>
      <w:r w:rsidR="006F1E2C">
        <w:t>.</w:t>
      </w:r>
    </w:p>
    <w:p w14:paraId="1102EB36" w14:textId="05E718DD" w:rsidR="006E47F1" w:rsidRPr="00892DB5" w:rsidRDefault="00073C13" w:rsidP="00073C13">
      <w:pPr>
        <w:pStyle w:val="UZEIOdrky"/>
      </w:pPr>
      <w:r>
        <w:t xml:space="preserve">W4: </w:t>
      </w:r>
      <w:r w:rsidR="006E47F1" w:rsidRPr="00892DB5">
        <w:t>Velký podíl propachtované zemědělské půdy, z čehož vyplývají nestabilní právní vztahy</w:t>
      </w:r>
      <w:r w:rsidR="006F1E2C">
        <w:t>.</w:t>
      </w:r>
    </w:p>
    <w:p w14:paraId="38064392" w14:textId="0DB18C03" w:rsidR="006E47F1" w:rsidRPr="00892DB5" w:rsidRDefault="00073C13" w:rsidP="00073C13">
      <w:pPr>
        <w:pStyle w:val="UZEIOdrky"/>
      </w:pPr>
      <w:r>
        <w:t xml:space="preserve">W5: </w:t>
      </w:r>
      <w:r w:rsidR="006E47F1" w:rsidRPr="00892DB5">
        <w:t>Náročná administrativa a byrokracie spojená se založením a rozvojem podniku, náročné výkaznictví</w:t>
      </w:r>
      <w:r w:rsidR="006F1E2C">
        <w:t>.</w:t>
      </w:r>
    </w:p>
    <w:p w14:paraId="635B006B" w14:textId="6F550BA1" w:rsidR="006E47F1" w:rsidRPr="00892DB5" w:rsidRDefault="00073C13" w:rsidP="00073C13">
      <w:pPr>
        <w:pStyle w:val="UZEIOdrky"/>
      </w:pPr>
      <w:r>
        <w:lastRenderedPageBreak/>
        <w:t xml:space="preserve">W6: </w:t>
      </w:r>
      <w:r w:rsidR="006E47F1" w:rsidRPr="00892DB5">
        <w:t>Potřeba dodržovat řadu nařízení, předpisů a zákonů, časté a náročné kontroly ze strany státních orgánů i platební agentury demotivují mladé od zahájení samostatné zemědělské činnosti</w:t>
      </w:r>
      <w:r w:rsidR="006F1E2C">
        <w:t>.</w:t>
      </w:r>
    </w:p>
    <w:p w14:paraId="352BF48B" w14:textId="2821C120" w:rsidR="006E47F1" w:rsidRPr="00892DB5" w:rsidRDefault="00073C13" w:rsidP="00073C13">
      <w:pPr>
        <w:pStyle w:val="UZEIOdrky"/>
      </w:pPr>
      <w:r>
        <w:t xml:space="preserve">W7: </w:t>
      </w:r>
      <w:r w:rsidR="006E47F1" w:rsidRPr="00892DB5">
        <w:t>Zemědělské podniky mají vůči mnoha jiným sektorům limitovanější možnosti poskytování některých benefitů svým pracovníkům jako je práce z domova, pružná pracovní doba, termíny dovolené v létě, což odrazuje mladé lidi od vstupu do odvětví</w:t>
      </w:r>
      <w:r w:rsidR="006F1E2C">
        <w:t>.</w:t>
      </w:r>
    </w:p>
    <w:p w14:paraId="72515302" w14:textId="7BAFF39D" w:rsidR="006E47F1" w:rsidRPr="00892DB5" w:rsidRDefault="00073C13" w:rsidP="00073C13">
      <w:pPr>
        <w:pStyle w:val="UZEIOdrky"/>
      </w:pPr>
      <w:r>
        <w:t xml:space="preserve">W8: </w:t>
      </w:r>
      <w:r w:rsidR="006E47F1" w:rsidRPr="00892DB5">
        <w:t>Mnozí mladí začínající zemědělci postrádají zkušenosti s návrhem podnikatelského plánu</w:t>
      </w:r>
      <w:r w:rsidR="006F1E2C">
        <w:t>.</w:t>
      </w:r>
    </w:p>
    <w:p w14:paraId="34EA5DC0" w14:textId="650A489B" w:rsidR="006E47F1" w:rsidRPr="00892DB5" w:rsidRDefault="00073C13" w:rsidP="00073C13">
      <w:pPr>
        <w:pStyle w:val="UZEIOdrky"/>
      </w:pPr>
      <w:r>
        <w:t xml:space="preserve">W9: </w:t>
      </w:r>
      <w:r w:rsidR="006E47F1" w:rsidRPr="00892DB5">
        <w:t>Omezenější možnosti přístupu k financím na investice – omezená možnost přístupu k úvěrům z důvodu kratší historie fungování nebo nedostatku kolaterálu či zkušeností.</w:t>
      </w:r>
    </w:p>
    <w:p w14:paraId="1E1B697E" w14:textId="5A8868A8" w:rsidR="006E47F1" w:rsidRPr="00892DB5" w:rsidRDefault="006E47F1" w:rsidP="000F1F84">
      <w:pPr>
        <w:pStyle w:val="Nadpis2"/>
      </w:pPr>
      <w:bookmarkStart w:id="148" w:name="_Toc80347837"/>
      <w:bookmarkStart w:id="149" w:name="_Toc81752217"/>
      <w:r w:rsidRPr="00892DB5">
        <w:t>Příležitosti</w:t>
      </w:r>
      <w:bookmarkEnd w:id="148"/>
      <w:bookmarkEnd w:id="149"/>
    </w:p>
    <w:p w14:paraId="1CAAB8FA" w14:textId="31FAC277" w:rsidR="006E47F1" w:rsidRPr="00892DB5" w:rsidRDefault="00073C13" w:rsidP="00073C13">
      <w:pPr>
        <w:pStyle w:val="UZEIOdrky"/>
      </w:pPr>
      <w:r>
        <w:t xml:space="preserve">O1: </w:t>
      </w:r>
      <w:r w:rsidR="006E47F1" w:rsidRPr="00892DB5">
        <w:t>Rozvoj robotiky, nových inovativních technologií (včetně hydroponie, použití dronů, technik precizního zemědělství apod.) povede k vyšší potřebě kvalifikované práce, „human welfare“ a atraktivitě odvětví</w:t>
      </w:r>
      <w:r w:rsidR="006F1E2C">
        <w:t>.</w:t>
      </w:r>
    </w:p>
    <w:p w14:paraId="5C871D1E" w14:textId="7C0320E6" w:rsidR="006E47F1" w:rsidRPr="00892DB5" w:rsidRDefault="00073C13" w:rsidP="00073C13">
      <w:pPr>
        <w:pStyle w:val="UZEIOdrky"/>
      </w:pPr>
      <w:r>
        <w:t xml:space="preserve">O2: </w:t>
      </w:r>
      <w:r w:rsidR="006E47F1" w:rsidRPr="00892DB5">
        <w:t>Méně příznivé pracovní podmínky, které mladé lidi často od vstupu do odvětví odrazují, mohou být překonány do určité míry modernizací a zlepšením technologií; robotizace značné části procesů může snížit pracovní náročnost, a tím usnadnit vstup mladých zemědělců do sektoru (vyšší motivace, nižší potřeba pracovní síly)</w:t>
      </w:r>
      <w:r w:rsidR="006F1E2C">
        <w:t>.</w:t>
      </w:r>
    </w:p>
    <w:p w14:paraId="467500FC" w14:textId="1F12174F" w:rsidR="006E47F1" w:rsidRPr="00892DB5" w:rsidRDefault="00073C13" w:rsidP="00073C13">
      <w:pPr>
        <w:pStyle w:val="UZEIOdrky"/>
      </w:pPr>
      <w:r>
        <w:t xml:space="preserve">O3: </w:t>
      </w:r>
      <w:r w:rsidR="006E47F1" w:rsidRPr="00892DB5">
        <w:t>Technologický pokrok může posílit atraktivitu sektoru pro vstup mladší generace (včetně využití potenciálu pro zvýšení příjmů a mezd) při současné úspoře pracovníků</w:t>
      </w:r>
      <w:r w:rsidR="006F1E2C">
        <w:t>.</w:t>
      </w:r>
    </w:p>
    <w:p w14:paraId="11B38B68" w14:textId="14150001" w:rsidR="006E47F1" w:rsidRPr="00892DB5" w:rsidRDefault="00073C13" w:rsidP="00073C13">
      <w:pPr>
        <w:pStyle w:val="UZEIOdrky"/>
      </w:pPr>
      <w:r>
        <w:t xml:space="preserve">O4: </w:t>
      </w:r>
      <w:r w:rsidR="006E47F1" w:rsidRPr="00892DB5">
        <w:t>Rozvoj podniků služeb vybavených nejmodernější technikou a prohloubení kooperace mezi podniky může usnadnit zahájení činnosti mladých zemědělců</w:t>
      </w:r>
      <w:r w:rsidR="006F1E2C">
        <w:t>.</w:t>
      </w:r>
    </w:p>
    <w:p w14:paraId="2FF7CFAD" w14:textId="26A5B18A" w:rsidR="006E47F1" w:rsidRPr="00892DB5" w:rsidRDefault="00073C13" w:rsidP="00073C13">
      <w:pPr>
        <w:pStyle w:val="UZEIOdrky"/>
      </w:pPr>
      <w:r>
        <w:t xml:space="preserve">O5: </w:t>
      </w:r>
      <w:r w:rsidR="006E47F1" w:rsidRPr="00892DB5">
        <w:t>Celkově stále poměrně velké množství absolventů zemědělských škol, které je však třeba dokázat k zemědělskému hospodaření přitáhnout</w:t>
      </w:r>
      <w:r w:rsidR="006F1E2C">
        <w:t>.</w:t>
      </w:r>
    </w:p>
    <w:p w14:paraId="50E6F0D8" w14:textId="3D98BC2C" w:rsidR="006E47F1" w:rsidRPr="00892DB5" w:rsidRDefault="00073C13" w:rsidP="00073C13">
      <w:pPr>
        <w:pStyle w:val="UZEIOdrky"/>
      </w:pPr>
      <w:r>
        <w:t xml:space="preserve">O6: </w:t>
      </w:r>
      <w:r w:rsidR="006E47F1" w:rsidRPr="00892DB5">
        <w:t>Různorodá podnikatelská struktura v ČR (z hlediska výrobního zaměření i velikosti podniku) umožňuje, že si potenciální mladý zaměstnanec nebo podnikatel může vybrat, kde bude zaměstnán či v jaké oblasti bude hospodařit (např. tržní výklenek); existují odvětví zemědělství, jež jsou pro mladé atraktivní (chov koní, vinařství apod.)</w:t>
      </w:r>
      <w:r w:rsidR="006F1E2C">
        <w:t>.</w:t>
      </w:r>
    </w:p>
    <w:p w14:paraId="46B275DF" w14:textId="1C5B6179" w:rsidR="006E47F1" w:rsidRPr="00892DB5" w:rsidRDefault="00073C13" w:rsidP="00073C13">
      <w:pPr>
        <w:pStyle w:val="UZEIOdrky"/>
      </w:pPr>
      <w:r>
        <w:t xml:space="preserve">O7: </w:t>
      </w:r>
      <w:r w:rsidR="006E47F1" w:rsidRPr="00892DB5">
        <w:t>Podpora ekologického a integrovaného zemědělství na orné půdě, sadech, vinicích bude nejen stimulovat zemědělskou zaměstnanost, ale přitáhne i nové mladé lidi do tohoto sektoru; navíc ekologický nebo integrovaný způsob zemědělského hospodaření může být sám o sobě atraktivní pro mladé.</w:t>
      </w:r>
    </w:p>
    <w:p w14:paraId="4760B8F7" w14:textId="2777B0F0" w:rsidR="006E47F1" w:rsidRPr="00892DB5" w:rsidRDefault="00073C13" w:rsidP="00073C13">
      <w:pPr>
        <w:pStyle w:val="UZEIOdrky"/>
      </w:pPr>
      <w:r>
        <w:t xml:space="preserve">O8: </w:t>
      </w:r>
      <w:r w:rsidR="006E47F1" w:rsidRPr="00892DB5">
        <w:t>Zvyšující se poptávka spotřebitelů po produktech ekologického zemědělství vytváří příležitost pro mladé zemědělce realizovat produkci v tomto odvětví</w:t>
      </w:r>
      <w:r w:rsidR="006F1E2C">
        <w:t>.</w:t>
      </w:r>
    </w:p>
    <w:p w14:paraId="64A4A41C" w14:textId="35CBAF92" w:rsidR="006E47F1" w:rsidRPr="00892DB5" w:rsidRDefault="00073C13" w:rsidP="00073C13">
      <w:pPr>
        <w:pStyle w:val="UZEIOdrky"/>
      </w:pPr>
      <w:r>
        <w:t xml:space="preserve">O9: </w:t>
      </w:r>
      <w:r w:rsidR="006E47F1" w:rsidRPr="00892DB5">
        <w:t>Technické a ekonomické vyřešení budování a využívání závlah umožní dosahovat větší a pestřejší produkce (vč. zeleniny a ovoce), což může být příležitostí pro mladé začít podnikat v zemědělství a vyplnit svou produkcí mezery na trhu</w:t>
      </w:r>
      <w:r w:rsidR="006F1E2C">
        <w:t>.</w:t>
      </w:r>
      <w:r w:rsidR="006E47F1" w:rsidRPr="00892DB5">
        <w:t xml:space="preserve"> </w:t>
      </w:r>
    </w:p>
    <w:p w14:paraId="1B38B1D9" w14:textId="621B3959" w:rsidR="006E47F1" w:rsidRPr="00892DB5" w:rsidRDefault="00073C13" w:rsidP="00073C13">
      <w:pPr>
        <w:pStyle w:val="UZEIOdrky"/>
      </w:pPr>
      <w:r>
        <w:t xml:space="preserve">O10: </w:t>
      </w:r>
      <w:r w:rsidR="006E47F1" w:rsidRPr="00892DB5">
        <w:t>Naroste poptávka po energiích z obnovitelných zdrojů (viz současná situace na trhu s ropou), a to zejména z efektivně a masově získávaných, intenzivních plodin (cukrovka aj.) – opět podnikatelská příležitost pro mladé zemědělce</w:t>
      </w:r>
      <w:r w:rsidR="006F1E2C">
        <w:t>.</w:t>
      </w:r>
    </w:p>
    <w:p w14:paraId="7A1FD834" w14:textId="4A52B170" w:rsidR="006E47F1" w:rsidRPr="00892DB5" w:rsidRDefault="00073C13" w:rsidP="00073C13">
      <w:pPr>
        <w:pStyle w:val="UZEIOdrky"/>
      </w:pPr>
      <w:r>
        <w:t xml:space="preserve">O11: </w:t>
      </w:r>
      <w:r w:rsidR="006E47F1" w:rsidRPr="00892DB5">
        <w:t xml:space="preserve">Poradenský systém AKIS, pokud bude dostatečně rozvinut a rozpracován jednak může usnadňovat zahájení a rozvoj podniků mladých zemědělců a také i absorbovat </w:t>
      </w:r>
      <w:r w:rsidR="006E47F1" w:rsidRPr="00892DB5">
        <w:lastRenderedPageBreak/>
        <w:t>část mladých absolventů zemědělských oborů, kteří takto mohou najít uplatnění v</w:t>
      </w:r>
      <w:r w:rsidR="006F1E2C">
        <w:t> </w:t>
      </w:r>
      <w:r w:rsidR="006E47F1" w:rsidRPr="00892DB5">
        <w:t>oboru</w:t>
      </w:r>
      <w:r w:rsidR="006F1E2C">
        <w:t>.</w:t>
      </w:r>
    </w:p>
    <w:p w14:paraId="32B643EB" w14:textId="4125E732" w:rsidR="006E47F1" w:rsidRPr="00892DB5" w:rsidRDefault="006E47F1" w:rsidP="000F1F84">
      <w:pPr>
        <w:pStyle w:val="Nadpis2"/>
      </w:pPr>
      <w:bookmarkStart w:id="150" w:name="_Toc80347838"/>
      <w:bookmarkStart w:id="151" w:name="_Toc81752218"/>
      <w:r w:rsidRPr="00892DB5">
        <w:t>Hrozby</w:t>
      </w:r>
      <w:bookmarkEnd w:id="150"/>
      <w:bookmarkEnd w:id="151"/>
    </w:p>
    <w:p w14:paraId="1558601F" w14:textId="616DE76F" w:rsidR="006E47F1" w:rsidRPr="00892DB5" w:rsidRDefault="006F1E2C" w:rsidP="006F1E2C">
      <w:pPr>
        <w:pStyle w:val="UZEIOdrky"/>
      </w:pPr>
      <w:r>
        <w:t xml:space="preserve">T1: </w:t>
      </w:r>
      <w:r w:rsidR="006E47F1" w:rsidRPr="00892DB5">
        <w:t>Mzdová disparita a výše důchodu ze zemědělské činnosti jsou mladými vnímány jako nemotivující ke vstupu do odvětví</w:t>
      </w:r>
      <w:r>
        <w:t>.</w:t>
      </w:r>
    </w:p>
    <w:p w14:paraId="7A6C3F41" w14:textId="50546DAE" w:rsidR="006E47F1" w:rsidRPr="00892DB5" w:rsidRDefault="006F1E2C" w:rsidP="006F1E2C">
      <w:pPr>
        <w:pStyle w:val="UZEIOdrky"/>
      </w:pPr>
      <w:r>
        <w:t xml:space="preserve">T2: </w:t>
      </w:r>
      <w:r w:rsidR="006E47F1" w:rsidRPr="00892DB5">
        <w:t>Pokud bude stále růst cena zemědělské půdy a odtud i pachtovného (také v důsledku skupování půdy zahraničními a domácími velkými investory) bude zahájení a rozvoj podniků mladých zemědělců ještě obtížnější</w:t>
      </w:r>
      <w:r>
        <w:t>.</w:t>
      </w:r>
    </w:p>
    <w:p w14:paraId="25C39115" w14:textId="52009CAD" w:rsidR="006E47F1" w:rsidRPr="00892DB5" w:rsidRDefault="006F1E2C" w:rsidP="006F1E2C">
      <w:pPr>
        <w:pStyle w:val="UZEIOdrky"/>
      </w:pPr>
      <w:r>
        <w:t xml:space="preserve">T3: </w:t>
      </w:r>
      <w:r w:rsidR="006E47F1" w:rsidRPr="00892DB5">
        <w:t>Pokud bude přetrvávat nedostupnost zemědělské půdy např. v důsledku dlouhodobých nájemních smluv bude vstup nových zemědělců do odvětví nadále obtížný</w:t>
      </w:r>
      <w:r>
        <w:t>.</w:t>
      </w:r>
    </w:p>
    <w:p w14:paraId="5AA19ED4" w14:textId="7C878B56" w:rsidR="006E47F1" w:rsidRPr="00892DB5" w:rsidRDefault="006F1E2C" w:rsidP="006F1E2C">
      <w:pPr>
        <w:pStyle w:val="UZEIOdrky"/>
      </w:pPr>
      <w:r>
        <w:t xml:space="preserve">T4: </w:t>
      </w:r>
      <w:r w:rsidR="006E47F1" w:rsidRPr="00892DB5">
        <w:t>Pokud nastane změna na úvěrovém trhu ve směru k vyšší averzi vůči riziku bankovních i nebankovních subjektů, může být pro mladé začínající zemědělce ještě obtížnější získat úvěr</w:t>
      </w:r>
      <w:r>
        <w:t>.</w:t>
      </w:r>
    </w:p>
    <w:p w14:paraId="055720CF" w14:textId="76F9510F" w:rsidR="006E47F1" w:rsidRPr="00892DB5" w:rsidRDefault="006F1E2C" w:rsidP="006F1E2C">
      <w:pPr>
        <w:pStyle w:val="UZEIOdrky"/>
      </w:pPr>
      <w:r>
        <w:t xml:space="preserve">T5: </w:t>
      </w:r>
      <w:r w:rsidR="006E47F1" w:rsidRPr="00892DB5">
        <w:t>Počet absolventů zemědělských škol je sice stále relativně vysoký, ale v posledních letech klesá a velká část absolventů SŠ zemědělských oborů (46 % dle výzkumu Spěšná et al., 2016) do zemědělského sektoru nevstupuje, což představuje ohrožení pro generační obměnu</w:t>
      </w:r>
      <w:r>
        <w:t>.</w:t>
      </w:r>
    </w:p>
    <w:p w14:paraId="7A9246FD" w14:textId="3F991841" w:rsidR="006E47F1" w:rsidRPr="00892DB5" w:rsidRDefault="006F1E2C" w:rsidP="006F1E2C">
      <w:pPr>
        <w:pStyle w:val="UZEIOdrky"/>
      </w:pPr>
      <w:r>
        <w:t xml:space="preserve">T6: </w:t>
      </w:r>
      <w:r w:rsidR="006E47F1" w:rsidRPr="00892DB5">
        <w:t>Promarní se příležitost využít nabízené možnosti zavést efektivní opatření zemědělské politiky na získávání mladých pracovníků – absolventů zemědělských škol, a to i do stávajících zemědělských podniků, bez nutnosti zakládat „nový“ podnik</w:t>
      </w:r>
      <w:r>
        <w:t>.</w:t>
      </w:r>
    </w:p>
    <w:p w14:paraId="55537AAF" w14:textId="77777777" w:rsidR="006E47F1" w:rsidRPr="00892DB5" w:rsidRDefault="006E47F1" w:rsidP="006F1E2C">
      <w:pPr>
        <w:pStyle w:val="UZEIOdrky"/>
        <w:numPr>
          <w:ilvl w:val="0"/>
          <w:numId w:val="0"/>
        </w:numPr>
        <w:ind w:left="720"/>
      </w:pPr>
    </w:p>
    <w:sectPr w:rsidR="006E47F1" w:rsidRPr="00892DB5">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E1699" w14:textId="77777777" w:rsidR="00992366" w:rsidRDefault="00992366" w:rsidP="00B87E14">
      <w:r>
        <w:separator/>
      </w:r>
    </w:p>
  </w:endnote>
  <w:endnote w:type="continuationSeparator" w:id="0">
    <w:p w14:paraId="4C54698E" w14:textId="77777777" w:rsidR="00992366" w:rsidRDefault="00992366" w:rsidP="00B87E14">
      <w:r>
        <w:continuationSeparator/>
      </w:r>
    </w:p>
  </w:endnote>
  <w:endnote w:type="continuationNotice" w:id="1">
    <w:p w14:paraId="20EC35FA" w14:textId="77777777" w:rsidR="00992366" w:rsidRDefault="00992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6670FB55" w14:textId="087FD5B7" w:rsidR="0086054E" w:rsidRDefault="0086054E">
        <w:pPr>
          <w:pStyle w:val="Zpat"/>
          <w:jc w:val="center"/>
        </w:pPr>
        <w:r>
          <w:fldChar w:fldCharType="begin"/>
        </w:r>
        <w:r>
          <w:instrText>PAGE   \* MERGEFORMAT</w:instrText>
        </w:r>
        <w:r>
          <w:fldChar w:fldCharType="separate"/>
        </w:r>
        <w:r w:rsidR="00FB6F93" w:rsidRPr="00FB6F93">
          <w:rPr>
            <w:noProof/>
            <w:lang w:val="cs-CZ"/>
          </w:rPr>
          <w:t>34</w:t>
        </w:r>
        <w:r>
          <w:fldChar w:fldCharType="end"/>
        </w:r>
      </w:p>
    </w:sdtContent>
  </w:sdt>
  <w:p w14:paraId="1766D528" w14:textId="77777777" w:rsidR="0086054E" w:rsidRDefault="0086054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2056" w14:textId="77777777" w:rsidR="00992366" w:rsidRDefault="00992366" w:rsidP="00B87E14">
      <w:r>
        <w:separator/>
      </w:r>
    </w:p>
  </w:footnote>
  <w:footnote w:type="continuationSeparator" w:id="0">
    <w:p w14:paraId="37DCC156" w14:textId="77777777" w:rsidR="00992366" w:rsidRDefault="00992366" w:rsidP="00B87E14">
      <w:r>
        <w:continuationSeparator/>
      </w:r>
    </w:p>
  </w:footnote>
  <w:footnote w:type="continuationNotice" w:id="1">
    <w:p w14:paraId="1A6DB322" w14:textId="77777777" w:rsidR="00992366" w:rsidRDefault="00992366"/>
  </w:footnote>
  <w:footnote w:id="2">
    <w:p w14:paraId="53B761F7" w14:textId="77777777" w:rsidR="0086054E" w:rsidRPr="000E1A9F" w:rsidRDefault="0086054E" w:rsidP="0000288B">
      <w:pPr>
        <w:pStyle w:val="Textpoznpodarou"/>
        <w:rPr>
          <w:sz w:val="18"/>
          <w:szCs w:val="18"/>
        </w:rPr>
      </w:pPr>
      <w:r w:rsidRPr="000E1A9F">
        <w:rPr>
          <w:rStyle w:val="Znakapoznpodarou"/>
          <w:sz w:val="18"/>
          <w:szCs w:val="18"/>
        </w:rPr>
        <w:footnoteRef/>
      </w:r>
      <w:r w:rsidRPr="000E1A9F">
        <w:rPr>
          <w:sz w:val="18"/>
          <w:szCs w:val="18"/>
        </w:rPr>
        <w:t xml:space="preserve"> </w:t>
      </w:r>
      <w:r w:rsidRPr="000E1A9F">
        <w:rPr>
          <w:i/>
          <w:sz w:val="18"/>
          <w:szCs w:val="18"/>
        </w:rPr>
        <w:t>Zdroj: ČSÚ (2018) 8. Zemědělské vzdělání vedoucích podniků (rok 2013 a 2016)</w:t>
      </w:r>
    </w:p>
  </w:footnote>
  <w:footnote w:id="3">
    <w:p w14:paraId="3D361014" w14:textId="77777777" w:rsidR="0086054E" w:rsidRPr="000E1A9F" w:rsidRDefault="0086054E" w:rsidP="0000288B">
      <w:pPr>
        <w:pStyle w:val="Textpoznpodarou"/>
        <w:rPr>
          <w:sz w:val="18"/>
          <w:szCs w:val="18"/>
        </w:rPr>
      </w:pPr>
      <w:r w:rsidRPr="000E1A9F">
        <w:rPr>
          <w:rStyle w:val="Znakapoznpodarou"/>
          <w:sz w:val="18"/>
          <w:szCs w:val="18"/>
        </w:rPr>
        <w:footnoteRef/>
      </w:r>
      <w:r w:rsidRPr="000E1A9F">
        <w:rPr>
          <w:sz w:val="18"/>
          <w:szCs w:val="18"/>
        </w:rPr>
        <w:t xml:space="preserve"> V ČR je většina pracovníků v zemědělství (cca 75 %) odměňována mzdou. </w:t>
      </w:r>
    </w:p>
  </w:footnote>
  <w:footnote w:id="4">
    <w:p w14:paraId="5E13B6D1" w14:textId="3D73074A" w:rsidR="0086054E" w:rsidRPr="000E1A9F" w:rsidRDefault="0086054E" w:rsidP="0000288B">
      <w:pPr>
        <w:pStyle w:val="Textpoznpodarou"/>
        <w:rPr>
          <w:sz w:val="18"/>
          <w:szCs w:val="18"/>
        </w:rPr>
      </w:pPr>
      <w:r w:rsidRPr="000E1A9F">
        <w:rPr>
          <w:rStyle w:val="Znakapoznpodarou"/>
          <w:sz w:val="18"/>
          <w:szCs w:val="18"/>
        </w:rPr>
        <w:footnoteRef/>
      </w:r>
      <w:r w:rsidRPr="000E1A9F">
        <w:rPr>
          <w:sz w:val="18"/>
          <w:szCs w:val="18"/>
        </w:rPr>
        <w:t xml:space="preserve"> Pro zpracování kapitoly byly použity údaje k březnu 2020.</w:t>
      </w:r>
    </w:p>
  </w:footnote>
  <w:footnote w:id="5">
    <w:p w14:paraId="35594AD1" w14:textId="77777777" w:rsidR="0086054E" w:rsidRPr="008659BC" w:rsidRDefault="0086054E" w:rsidP="0000288B">
      <w:pPr>
        <w:rPr>
          <w:sz w:val="20"/>
          <w:szCs w:val="20"/>
        </w:rPr>
      </w:pPr>
      <w:r w:rsidRPr="000E1A9F">
        <w:rPr>
          <w:rStyle w:val="Znakapoznpodarou"/>
          <w:sz w:val="18"/>
          <w:szCs w:val="18"/>
        </w:rPr>
        <w:footnoteRef/>
      </w:r>
      <w:r w:rsidRPr="000E1A9F">
        <w:rPr>
          <w:sz w:val="18"/>
          <w:szCs w:val="18"/>
        </w:rPr>
        <w:t xml:space="preserve"> </w:t>
      </w:r>
      <w:bookmarkStart w:id="37" w:name="_Hlk516420324"/>
      <w:r w:rsidRPr="000E1A9F">
        <w:rPr>
          <w:sz w:val="18"/>
          <w:szCs w:val="18"/>
        </w:rPr>
        <w:t>ČSÚ (2018) – Průměrná hrubá měsíční mzda podle odvětví CZ-NACE</w:t>
      </w:r>
      <w:bookmarkEnd w:id="37"/>
    </w:p>
  </w:footnote>
  <w:footnote w:id="6">
    <w:p w14:paraId="3D97F411" w14:textId="77777777" w:rsidR="0086054E" w:rsidRPr="000E1A9F" w:rsidRDefault="0086054E" w:rsidP="0000288B">
      <w:pPr>
        <w:pStyle w:val="Textpoznpodarou"/>
        <w:rPr>
          <w:sz w:val="18"/>
          <w:szCs w:val="18"/>
        </w:rPr>
      </w:pPr>
      <w:r w:rsidRPr="000E1A9F">
        <w:rPr>
          <w:rStyle w:val="Znakapoznpodarou"/>
          <w:sz w:val="18"/>
          <w:szCs w:val="18"/>
        </w:rPr>
        <w:footnoteRef/>
      </w:r>
      <w:r w:rsidRPr="000E1A9F">
        <w:rPr>
          <w:sz w:val="18"/>
          <w:szCs w:val="18"/>
        </w:rPr>
        <w:t xml:space="preserve"> Analýzu z těchto dat nicméně uvádíme zde:</w:t>
      </w:r>
    </w:p>
    <w:p w14:paraId="097AF63D" w14:textId="77777777" w:rsidR="0086054E" w:rsidRPr="000E1A9F" w:rsidRDefault="0086054E" w:rsidP="0000288B">
      <w:pPr>
        <w:rPr>
          <w:sz w:val="18"/>
          <w:szCs w:val="18"/>
        </w:rPr>
      </w:pPr>
      <w:r w:rsidRPr="000E1A9F">
        <w:rPr>
          <w:sz w:val="18"/>
          <w:szCs w:val="18"/>
        </w:rPr>
        <w:t>Následující analýza využívá indikativní data mladých začínajících zemědělců z databáze FADN. Vzhledem k malému počtu subjektů je nutné uvedené hodnoty ukazatelů považovat pouze za informativní, rozhodně ne za reprezentativní v rámci ČR. Nízký počet podniků mladých zemědělců v šetření FADN je dán prahem výběru šetření, který patrně většina podpořených mladých zemědělců nedosahuje. Byli vybráni pouze začínající zemědělci, kteří jsou příjemci doplňkové přímé platby.</w:t>
      </w:r>
    </w:p>
    <w:p w14:paraId="4D452F44" w14:textId="77777777" w:rsidR="0086054E" w:rsidRPr="000E1A9F" w:rsidRDefault="0086054E" w:rsidP="0000288B">
      <w:pPr>
        <w:rPr>
          <w:sz w:val="18"/>
          <w:szCs w:val="18"/>
        </w:rPr>
      </w:pPr>
      <w:r w:rsidRPr="000E1A9F">
        <w:rPr>
          <w:sz w:val="18"/>
          <w:szCs w:val="18"/>
        </w:rPr>
        <w:t xml:space="preserve">Vzorek obsahoval pouze 22 mladých začínajících zemědělců v roce 2015, 24 v roce 2016 a 21 v roce 2017. Z níže uvedeného grafu je patrné, že důchod ze zemědělské činnosti u mladých začínajících zemědělců zhruba odpovídá důchodu u malých zemědělců. Výrazný rozdíl byl pouze v roce 2016, kdy u malých byl důchod ze zemědělské činnosti pouze ve výši 8792 Kč/ha, ale u mladých 12 363 Kč/ha. V roce 2017 byly hodnoty téměř totožné (10973 Kč/ha u malých a 10610 Kč/ha u mladých). Je tedy oprávněné předpokládat, že příjmy mladých začínajících zemědělců jsou nízké. </w:t>
      </w:r>
    </w:p>
    <w:p w14:paraId="1CA62973" w14:textId="72EEBDE4" w:rsidR="00B641BB" w:rsidRPr="009F0389" w:rsidRDefault="00034808" w:rsidP="00034808">
      <w:pPr>
        <w:pStyle w:val="UZEINormaln"/>
        <w:rPr>
          <w:rStyle w:val="Siln"/>
          <w:bCs w:val="0"/>
          <w:sz w:val="18"/>
          <w:szCs w:val="18"/>
        </w:rPr>
      </w:pPr>
      <w:r w:rsidRPr="009F0389">
        <w:rPr>
          <w:sz w:val="18"/>
          <w:szCs w:val="18"/>
        </w:rPr>
        <w:t>Graf</w:t>
      </w:r>
      <w:r w:rsidR="009342D7">
        <w:rPr>
          <w:sz w:val="18"/>
          <w:szCs w:val="18"/>
        </w:rPr>
        <w:t>.</w:t>
      </w:r>
      <w:r w:rsidRPr="009F0389">
        <w:rPr>
          <w:sz w:val="18"/>
          <w:szCs w:val="18"/>
        </w:rPr>
        <w:t xml:space="preserve"> </w:t>
      </w:r>
      <w:r w:rsidR="0086054E" w:rsidRPr="009F0389">
        <w:rPr>
          <w:sz w:val="18"/>
          <w:szCs w:val="18"/>
        </w:rPr>
        <w:t>Důchod ze zemědělské činnosti u mladých začínajících zemědělců (v Kč/ha) – vlevo a čistá přidaná</w:t>
      </w:r>
      <w:r w:rsidR="007560F1" w:rsidRPr="009F0389">
        <w:rPr>
          <w:rStyle w:val="Siln"/>
          <w:b w:val="0"/>
          <w:bCs w:val="0"/>
          <w:sz w:val="18"/>
          <w:szCs w:val="18"/>
        </w:rPr>
        <w:t xml:space="preserve"> </w:t>
      </w:r>
      <w:r w:rsidR="0086054E" w:rsidRPr="009F0389">
        <w:rPr>
          <w:sz w:val="18"/>
          <w:szCs w:val="18"/>
        </w:rPr>
        <w:t>hodnota (v Kč/AWU) – vpravo</w:t>
      </w:r>
    </w:p>
    <w:p w14:paraId="3000D826" w14:textId="77777777" w:rsidR="0086054E" w:rsidRPr="00CB48BD" w:rsidRDefault="0086054E" w:rsidP="0000288B">
      <w:r>
        <w:rPr>
          <w:noProof/>
          <w:lang w:val="cs-CZ" w:eastAsia="cs-CZ"/>
        </w:rPr>
        <w:drawing>
          <wp:inline distT="0" distB="0" distL="0" distR="0" wp14:anchorId="4F4EEBEE" wp14:editId="21BDF79C">
            <wp:extent cx="5734050" cy="1257300"/>
            <wp:effectExtent l="0" t="0" r="0" b="0"/>
            <wp:docPr id="5" name="Graf 5">
              <a:extLst xmlns:a="http://schemas.openxmlformats.org/drawingml/2006/main">
                <a:ext uri="{FF2B5EF4-FFF2-40B4-BE49-F238E27FC236}">
                  <a16:creationId xmlns:a16="http://schemas.microsoft.com/office/drawing/2014/main" id="{A72C2F1E-65B4-43F3-9F3B-B62FD18233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
              </a:graphicData>
            </a:graphic>
          </wp:inline>
        </w:drawing>
      </w:r>
    </w:p>
    <w:p w14:paraId="2B70FE8D" w14:textId="77777777" w:rsidR="0086054E" w:rsidRPr="007560F1" w:rsidRDefault="0086054E" w:rsidP="007560F1">
      <w:pPr>
        <w:pStyle w:val="Zdroj"/>
      </w:pPr>
      <w:r w:rsidRPr="007560F1">
        <w:t>Zdroj: FADN (2019), vyžádaná data</w:t>
      </w:r>
    </w:p>
  </w:footnote>
  <w:footnote w:id="7">
    <w:p w14:paraId="28E22B69" w14:textId="77777777" w:rsidR="0086054E" w:rsidRDefault="0086054E" w:rsidP="0000288B">
      <w:pPr>
        <w:pStyle w:val="Textpoznpodarou"/>
      </w:pPr>
      <w:r>
        <w:rPr>
          <w:rStyle w:val="Znakapoznpodarou"/>
        </w:rPr>
        <w:footnoteRef/>
      </w:r>
      <w:r>
        <w:t xml:space="preserve"> Eurostat (2013) – </w:t>
      </w:r>
      <w:r w:rsidRPr="00A0437C">
        <w:t>Key</w:t>
      </w:r>
      <w:r>
        <w:t xml:space="preserve"> </w:t>
      </w:r>
      <w:r w:rsidRPr="00A0437C">
        <w:t>farm variables: area, livestock (LSU), labour force and standard output (SO) by agricultural size of farm (UAA) and age of manager [ef_kvage]</w:t>
      </w:r>
    </w:p>
  </w:footnote>
  <w:footnote w:id="8">
    <w:p w14:paraId="07A819DD" w14:textId="77777777" w:rsidR="0086054E" w:rsidRPr="009342D7" w:rsidRDefault="0086054E" w:rsidP="0000288B">
      <w:pPr>
        <w:pStyle w:val="Zdroj"/>
        <w:rPr>
          <w:i w:val="0"/>
          <w:iCs w:val="0"/>
          <w:sz w:val="18"/>
          <w:szCs w:val="18"/>
        </w:rPr>
      </w:pPr>
      <w:r w:rsidRPr="009342D7">
        <w:rPr>
          <w:rStyle w:val="Znakapoznpodarou"/>
          <w:sz w:val="18"/>
          <w:szCs w:val="18"/>
        </w:rPr>
        <w:footnoteRef/>
      </w:r>
      <w:r w:rsidRPr="009342D7">
        <w:rPr>
          <w:sz w:val="18"/>
          <w:szCs w:val="18"/>
        </w:rPr>
        <w:t xml:space="preserve"> </w:t>
      </w:r>
      <w:bookmarkStart w:id="46" w:name="_Hlk516423407"/>
      <w:r w:rsidRPr="009342D7">
        <w:rPr>
          <w:i w:val="0"/>
          <w:iCs w:val="0"/>
          <w:sz w:val="18"/>
          <w:szCs w:val="18"/>
        </w:rPr>
        <w:t>Eurostat (2018) - Farm indicators by agricultural area, type of farm, standard output, sex and age of the manager and NUTS 2 regions [ef_m_farmang]</w:t>
      </w:r>
      <w:bookmarkEnd w:id="46"/>
    </w:p>
  </w:footnote>
  <w:footnote w:id="9">
    <w:p w14:paraId="56F4E809" w14:textId="77777777" w:rsidR="0086054E" w:rsidRPr="009342D7" w:rsidRDefault="0086054E" w:rsidP="0000288B">
      <w:pPr>
        <w:pStyle w:val="Textpoznpodarou"/>
        <w:rPr>
          <w:sz w:val="18"/>
          <w:szCs w:val="18"/>
        </w:rPr>
      </w:pPr>
      <w:r w:rsidRPr="009342D7">
        <w:rPr>
          <w:rStyle w:val="Znakapoznpodarou"/>
          <w:sz w:val="18"/>
          <w:szCs w:val="18"/>
        </w:rPr>
        <w:footnoteRef/>
      </w:r>
      <w:r w:rsidRPr="009342D7">
        <w:rPr>
          <w:sz w:val="18"/>
          <w:szCs w:val="18"/>
        </w:rPr>
        <w:t xml:space="preserve"> Eurostat (2018) - Farm indicators by agricultural area, type of farm, standard output, sex and age of the manager and NUTS 2 regions [ef_m_farmang]</w:t>
      </w:r>
    </w:p>
  </w:footnote>
  <w:footnote w:id="10">
    <w:p w14:paraId="0C767651" w14:textId="77777777" w:rsidR="0086054E" w:rsidRPr="009342D7" w:rsidRDefault="0086054E" w:rsidP="0000288B">
      <w:pPr>
        <w:pStyle w:val="Zdroj"/>
        <w:rPr>
          <w:sz w:val="18"/>
          <w:szCs w:val="18"/>
        </w:rPr>
      </w:pPr>
      <w:r w:rsidRPr="009342D7">
        <w:rPr>
          <w:rStyle w:val="Znakapoznpodarou"/>
          <w:i w:val="0"/>
          <w:iCs w:val="0"/>
          <w:sz w:val="18"/>
          <w:szCs w:val="18"/>
        </w:rPr>
        <w:footnoteRef/>
      </w:r>
      <w:r w:rsidRPr="009342D7">
        <w:rPr>
          <w:i w:val="0"/>
          <w:iCs w:val="0"/>
          <w:sz w:val="18"/>
          <w:szCs w:val="18"/>
        </w:rPr>
        <w:t xml:space="preserve"> Eurostat (2018) - Farm indicators by agricultural area, type of farm, standard output, sex and age of the manager and NUTS 2 regions [ef_m_farmang]</w:t>
      </w:r>
    </w:p>
  </w:footnote>
  <w:footnote w:id="11">
    <w:p w14:paraId="37A5BB1F" w14:textId="77777777" w:rsidR="0086054E" w:rsidRPr="00B56BC3" w:rsidRDefault="0086054E" w:rsidP="0000288B">
      <w:pPr>
        <w:pStyle w:val="Default"/>
        <w:jc w:val="both"/>
        <w:rPr>
          <w:sz w:val="20"/>
        </w:rPr>
      </w:pPr>
      <w:r w:rsidRPr="009342D7">
        <w:rPr>
          <w:rStyle w:val="Znakapoznpodarou"/>
          <w:sz w:val="18"/>
          <w:szCs w:val="18"/>
        </w:rPr>
        <w:footnoteRef/>
      </w:r>
      <w:r w:rsidRPr="009342D7">
        <w:rPr>
          <w:sz w:val="18"/>
          <w:szCs w:val="18"/>
        </w:rPr>
        <w:t xml:space="preserve"> </w:t>
      </w:r>
      <w:r w:rsidRPr="009342D7">
        <w:rPr>
          <w:rFonts w:eastAsia="Calibri"/>
          <w:sz w:val="18"/>
          <w:szCs w:val="18"/>
          <w:lang w:val="en-GB" w:eastAsia="cs-CZ"/>
        </w:rPr>
        <w:t>Databáze ČSÚ podle údajů z přiznání k dani z nemovitostí, které se vyhodnocují zpětně. Za rok 2016 uveden předběžný odhad, za rok 2015 uveden upřesněný odhad. Odhady vychází vždy z disponibilního vzorku údajů pro dané roky (aktualizované údaje ČSÚ březen 2018).</w:t>
      </w:r>
    </w:p>
  </w:footnote>
  <w:footnote w:id="12">
    <w:p w14:paraId="6C0868DA" w14:textId="77777777" w:rsidR="0086054E" w:rsidRPr="009342D7" w:rsidRDefault="0086054E" w:rsidP="0000288B">
      <w:pPr>
        <w:pStyle w:val="Zdroj"/>
        <w:rPr>
          <w:sz w:val="18"/>
          <w:szCs w:val="18"/>
        </w:rPr>
      </w:pPr>
      <w:r w:rsidRPr="009342D7">
        <w:rPr>
          <w:rStyle w:val="Znakapoznpodarou"/>
          <w:sz w:val="18"/>
          <w:szCs w:val="18"/>
        </w:rPr>
        <w:footnoteRef/>
      </w:r>
      <w:r w:rsidRPr="009342D7">
        <w:rPr>
          <w:sz w:val="18"/>
          <w:szCs w:val="18"/>
        </w:rPr>
        <w:t xml:space="preserve"> Zdroj: Výpočty ÚZEI na datech FADN (Medonos, 2018)</w:t>
      </w:r>
    </w:p>
  </w:footnote>
  <w:footnote w:id="13">
    <w:p w14:paraId="19AB762C" w14:textId="77777777" w:rsidR="0086054E" w:rsidRDefault="0086054E" w:rsidP="0000288B">
      <w:pPr>
        <w:pStyle w:val="Zdroj"/>
      </w:pPr>
      <w:r w:rsidRPr="009342D7">
        <w:rPr>
          <w:rStyle w:val="Znakapoznpodarou"/>
          <w:sz w:val="18"/>
          <w:szCs w:val="18"/>
        </w:rPr>
        <w:footnoteRef/>
      </w:r>
      <w:r w:rsidRPr="009342D7">
        <w:rPr>
          <w:sz w:val="18"/>
          <w:szCs w:val="18"/>
        </w:rPr>
        <w:t xml:space="preserve"> Zdroj: Výpočty ÚZEI na datech FADN (Medonos, 2018)</w:t>
      </w:r>
    </w:p>
  </w:footnote>
  <w:footnote w:id="14">
    <w:p w14:paraId="61E13CF1" w14:textId="77777777" w:rsidR="0086054E" w:rsidRPr="009342D7" w:rsidRDefault="0086054E" w:rsidP="0000288B">
      <w:pPr>
        <w:pStyle w:val="Textpoznpodarou"/>
        <w:rPr>
          <w:sz w:val="18"/>
          <w:szCs w:val="18"/>
        </w:rPr>
      </w:pPr>
      <w:r w:rsidRPr="009342D7">
        <w:rPr>
          <w:rStyle w:val="Znakapoznpodarou"/>
          <w:sz w:val="18"/>
          <w:szCs w:val="18"/>
        </w:rPr>
        <w:footnoteRef/>
      </w:r>
      <w:r w:rsidRPr="009342D7">
        <w:rPr>
          <w:sz w:val="18"/>
          <w:szCs w:val="18"/>
        </w:rPr>
        <w:t xml:space="preserve"> Pro zpracování byly použity nejnovější údaje k březnu 2020.</w:t>
      </w:r>
    </w:p>
  </w:footnote>
  <w:footnote w:id="15">
    <w:p w14:paraId="213973C0" w14:textId="77777777" w:rsidR="0086054E" w:rsidRPr="009342D7" w:rsidRDefault="0086054E" w:rsidP="002D33D2">
      <w:pPr>
        <w:pStyle w:val="Textpoznpodarou"/>
        <w:rPr>
          <w:sz w:val="18"/>
          <w:szCs w:val="18"/>
        </w:rPr>
      </w:pPr>
      <w:r w:rsidRPr="009342D7">
        <w:rPr>
          <w:rStyle w:val="Znakapoznpodarou"/>
          <w:sz w:val="18"/>
          <w:szCs w:val="18"/>
        </w:rPr>
        <w:footnoteRef/>
      </w:r>
      <w:r w:rsidRPr="009342D7">
        <w:rPr>
          <w:sz w:val="18"/>
          <w:szCs w:val="18"/>
        </w:rPr>
        <w:t xml:space="preserve"> Fi-Compass (2019) – Společná iniciativa pro zlepšení přístupu mladých evropských zemědělců k financování. </w:t>
      </w:r>
      <w:hyperlink r:id="rId2" w:history="1">
        <w:r w:rsidRPr="009342D7">
          <w:rPr>
            <w:rStyle w:val="Hypertextovodkaz"/>
            <w:sz w:val="18"/>
            <w:szCs w:val="18"/>
          </w:rPr>
          <w:t>https://ec.europa.eu/info/sites/info/files/food-farming-fisheries/events/improving-access-to-funding-young-farmers_en.pdf</w:t>
        </w:r>
      </w:hyperlink>
    </w:p>
  </w:footnote>
  <w:footnote w:id="16">
    <w:p w14:paraId="78537EA3" w14:textId="77777777" w:rsidR="0086054E" w:rsidRPr="009342D7" w:rsidRDefault="0086054E" w:rsidP="00130FD1">
      <w:pPr>
        <w:pStyle w:val="Textpoznpodarou"/>
        <w:rPr>
          <w:i/>
          <w:sz w:val="18"/>
          <w:szCs w:val="18"/>
        </w:rPr>
      </w:pPr>
      <w:r w:rsidRPr="009342D7">
        <w:rPr>
          <w:rStyle w:val="Znakapoznpodarou"/>
          <w:i/>
          <w:sz w:val="18"/>
          <w:szCs w:val="18"/>
        </w:rPr>
        <w:footnoteRef/>
      </w:r>
      <w:r w:rsidRPr="009342D7">
        <w:rPr>
          <w:i/>
          <w:sz w:val="18"/>
          <w:szCs w:val="18"/>
        </w:rPr>
        <w:t xml:space="preserve"> Analýza byla provedena na datech z listopadu 2017.</w:t>
      </w:r>
    </w:p>
  </w:footnote>
  <w:footnote w:id="17">
    <w:p w14:paraId="362E2448" w14:textId="77777777" w:rsidR="0086054E" w:rsidRPr="009342D7" w:rsidRDefault="0086054E" w:rsidP="00130FD1">
      <w:pPr>
        <w:pStyle w:val="Textpoznpodarou"/>
        <w:rPr>
          <w:sz w:val="18"/>
          <w:szCs w:val="18"/>
        </w:rPr>
      </w:pPr>
      <w:r w:rsidRPr="009342D7">
        <w:rPr>
          <w:rStyle w:val="Znakapoznpodarou"/>
          <w:sz w:val="18"/>
          <w:szCs w:val="18"/>
        </w:rPr>
        <w:footnoteRef/>
      </w:r>
      <w:r w:rsidRPr="009342D7">
        <w:rPr>
          <w:sz w:val="18"/>
          <w:szCs w:val="18"/>
        </w:rPr>
        <w:t xml:space="preserve"> Majetek získaný v dědickém řízení je od všech daní osvobozen. Dědická daň byla od roku 2014 zrušena úplně, dědictví se aktuálně vnímá jako bezúplatné nabytí a je podle zákona osvobozeno od daně z příjmů.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8D09" w14:textId="0B4B433D" w:rsidR="0086054E" w:rsidRPr="00B87E14" w:rsidRDefault="0086054E" w:rsidP="00B87E14">
    <w:pPr>
      <w:pStyle w:val="Zhlav"/>
      <w:tabs>
        <w:tab w:val="clear" w:pos="4513"/>
      </w:tabs>
      <w:rPr>
        <w:lang w:val="cs-CZ"/>
      </w:rPr>
    </w:pPr>
    <w:r>
      <w:rPr>
        <w:lang w:val="cs-CZ"/>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860"/>
    <w:multiLevelType w:val="multilevel"/>
    <w:tmpl w:val="B428E636"/>
    <w:lvl w:ilvl="0">
      <w:start w:val="1"/>
      <w:numFmt w:val="decimal"/>
      <w:lvlText w:val="%1"/>
      <w:lvlJc w:val="left"/>
      <w:pPr>
        <w:ind w:left="432" w:hanging="432"/>
      </w:pPr>
      <w:rPr>
        <w:rFonts w:hint="default"/>
      </w:rPr>
    </w:lvl>
    <w:lvl w:ilvl="1">
      <w:start w:val="1"/>
      <w:numFmt w:val="decimal"/>
      <w:lvlText w:val="%1.%2"/>
      <w:lvlJc w:val="left"/>
      <w:pPr>
        <w:ind w:left="1002" w:hanging="292"/>
      </w:pPr>
      <w:rPr>
        <w:rFonts w:hint="default"/>
        <w:color w:val="2E74B5" w:themeColor="accent5" w:themeShade="BF"/>
      </w:rPr>
    </w:lvl>
    <w:lvl w:ilvl="2">
      <w:start w:val="1"/>
      <w:numFmt w:val="decimal"/>
      <w:lvlText w:val="%1.%2.%3"/>
      <w:lvlJc w:val="left"/>
      <w:pPr>
        <w:ind w:left="720" w:hanging="153"/>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9F4B18"/>
    <w:multiLevelType w:val="hybridMultilevel"/>
    <w:tmpl w:val="30C681C6"/>
    <w:lvl w:ilvl="0" w:tplc="3FF03A64">
      <w:numFmt w:val="bullet"/>
      <w:lvlText w:val="-"/>
      <w:lvlJc w:val="left"/>
      <w:pPr>
        <w:ind w:left="927"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78F16E1"/>
    <w:multiLevelType w:val="hybridMultilevel"/>
    <w:tmpl w:val="E3D866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8B3985"/>
    <w:multiLevelType w:val="multilevel"/>
    <w:tmpl w:val="E9C61072"/>
    <w:lvl w:ilvl="0">
      <w:start w:val="1"/>
      <w:numFmt w:val="decimal"/>
      <w:lvlText w:val="1.%1"/>
      <w:lvlJc w:val="left"/>
      <w:pPr>
        <w:ind w:left="1429" w:hanging="360"/>
      </w:pPr>
      <w:rPr>
        <w:rFonts w:hint="default"/>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140C37F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117F80"/>
    <w:multiLevelType w:val="hybridMultilevel"/>
    <w:tmpl w:val="2E501142"/>
    <w:lvl w:ilvl="0" w:tplc="0405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7" w15:restartNumberingAfterBreak="0">
    <w:nsid w:val="194E046A"/>
    <w:multiLevelType w:val="multilevel"/>
    <w:tmpl w:val="1ACEB40C"/>
    <w:lvl w:ilvl="0">
      <w:start w:val="1"/>
      <w:numFmt w:val="decimal"/>
      <w:lvlText w:val="%1"/>
      <w:lvlJc w:val="left"/>
      <w:pPr>
        <w:ind w:left="922" w:hanging="432"/>
      </w:pPr>
      <w:rPr>
        <w:rFonts w:hint="default"/>
        <w:color w:val="auto"/>
      </w:rPr>
    </w:lvl>
    <w:lvl w:ilvl="1">
      <w:start w:val="1"/>
      <w:numFmt w:val="decimal"/>
      <w:lvlText w:val="%2.1"/>
      <w:lvlJc w:val="left"/>
      <w:pPr>
        <w:ind w:left="1066" w:hanging="576"/>
      </w:pPr>
      <w:rPr>
        <w:rFonts w:hint="default"/>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8" w15:restartNumberingAfterBreak="0">
    <w:nsid w:val="1C7A188C"/>
    <w:multiLevelType w:val="multilevel"/>
    <w:tmpl w:val="A03CD0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62DF5"/>
    <w:multiLevelType w:val="multilevel"/>
    <w:tmpl w:val="978AFD72"/>
    <w:lvl w:ilvl="0">
      <w:start w:val="1"/>
      <w:numFmt w:val="decimal"/>
      <w:lvlText w:val="%1"/>
      <w:lvlJc w:val="left"/>
      <w:pPr>
        <w:ind w:left="922" w:hanging="432"/>
      </w:pPr>
      <w:rPr>
        <w:rFonts w:hint="default"/>
        <w:color w:val="auto"/>
      </w:rPr>
    </w:lvl>
    <w:lvl w:ilvl="1">
      <w:start w:val="1"/>
      <w:numFmt w:val="decimal"/>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10" w15:restartNumberingAfterBreak="0">
    <w:nsid w:val="2B187F8C"/>
    <w:multiLevelType w:val="hybridMultilevel"/>
    <w:tmpl w:val="D5687C88"/>
    <w:lvl w:ilvl="0" w:tplc="EB24454C">
      <w:start w:val="1"/>
      <w:numFmt w:val="bullet"/>
      <w:lvlText w:val="-"/>
      <w:lvlJc w:val="left"/>
      <w:pPr>
        <w:ind w:left="720" w:hanging="360"/>
      </w:pPr>
      <w:rPr>
        <w:rFonts w:ascii="Calibri" w:hAnsi="Calibri" w:hint="default"/>
      </w:rPr>
    </w:lvl>
    <w:lvl w:ilvl="1" w:tplc="C928BE98">
      <w:start w:val="1"/>
      <w:numFmt w:val="bullet"/>
      <w:lvlText w:val="o"/>
      <w:lvlJc w:val="left"/>
      <w:pPr>
        <w:ind w:left="1440" w:hanging="360"/>
      </w:pPr>
      <w:rPr>
        <w:rFonts w:ascii="Courier New" w:hAnsi="Courier New" w:hint="default"/>
      </w:rPr>
    </w:lvl>
    <w:lvl w:ilvl="2" w:tplc="5CEC6056">
      <w:start w:val="1"/>
      <w:numFmt w:val="bullet"/>
      <w:lvlText w:val=""/>
      <w:lvlJc w:val="left"/>
      <w:pPr>
        <w:ind w:left="2160" w:hanging="360"/>
      </w:pPr>
      <w:rPr>
        <w:rFonts w:ascii="Wingdings" w:hAnsi="Wingdings" w:hint="default"/>
      </w:rPr>
    </w:lvl>
    <w:lvl w:ilvl="3" w:tplc="1FD6A7D2">
      <w:start w:val="1"/>
      <w:numFmt w:val="bullet"/>
      <w:lvlText w:val=""/>
      <w:lvlJc w:val="left"/>
      <w:pPr>
        <w:ind w:left="2880" w:hanging="360"/>
      </w:pPr>
      <w:rPr>
        <w:rFonts w:ascii="Symbol" w:hAnsi="Symbol" w:hint="default"/>
      </w:rPr>
    </w:lvl>
    <w:lvl w:ilvl="4" w:tplc="B7E6A6DC">
      <w:start w:val="1"/>
      <w:numFmt w:val="bullet"/>
      <w:lvlText w:val="o"/>
      <w:lvlJc w:val="left"/>
      <w:pPr>
        <w:ind w:left="3600" w:hanging="360"/>
      </w:pPr>
      <w:rPr>
        <w:rFonts w:ascii="Courier New" w:hAnsi="Courier New" w:hint="default"/>
      </w:rPr>
    </w:lvl>
    <w:lvl w:ilvl="5" w:tplc="E8128368">
      <w:start w:val="1"/>
      <w:numFmt w:val="bullet"/>
      <w:lvlText w:val=""/>
      <w:lvlJc w:val="left"/>
      <w:pPr>
        <w:ind w:left="4320" w:hanging="360"/>
      </w:pPr>
      <w:rPr>
        <w:rFonts w:ascii="Wingdings" w:hAnsi="Wingdings" w:hint="default"/>
      </w:rPr>
    </w:lvl>
    <w:lvl w:ilvl="6" w:tplc="AE80EE66">
      <w:start w:val="1"/>
      <w:numFmt w:val="bullet"/>
      <w:lvlText w:val=""/>
      <w:lvlJc w:val="left"/>
      <w:pPr>
        <w:ind w:left="5040" w:hanging="360"/>
      </w:pPr>
      <w:rPr>
        <w:rFonts w:ascii="Symbol" w:hAnsi="Symbol" w:hint="default"/>
      </w:rPr>
    </w:lvl>
    <w:lvl w:ilvl="7" w:tplc="5A5A8636">
      <w:start w:val="1"/>
      <w:numFmt w:val="bullet"/>
      <w:lvlText w:val="o"/>
      <w:lvlJc w:val="left"/>
      <w:pPr>
        <w:ind w:left="5760" w:hanging="360"/>
      </w:pPr>
      <w:rPr>
        <w:rFonts w:ascii="Courier New" w:hAnsi="Courier New" w:hint="default"/>
      </w:rPr>
    </w:lvl>
    <w:lvl w:ilvl="8" w:tplc="5EFEBCBE">
      <w:start w:val="1"/>
      <w:numFmt w:val="bullet"/>
      <w:lvlText w:val=""/>
      <w:lvlJc w:val="left"/>
      <w:pPr>
        <w:ind w:left="6480" w:hanging="360"/>
      </w:pPr>
      <w:rPr>
        <w:rFonts w:ascii="Wingdings" w:hAnsi="Wingdings" w:hint="default"/>
      </w:rPr>
    </w:lvl>
  </w:abstractNum>
  <w:abstractNum w:abstractNumId="11"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15:restartNumberingAfterBreak="0">
    <w:nsid w:val="35FC3B1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D23D28"/>
    <w:multiLevelType w:val="hybridMultilevel"/>
    <w:tmpl w:val="AEB01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2D323D"/>
    <w:multiLevelType w:val="hybridMultilevel"/>
    <w:tmpl w:val="8D3A868E"/>
    <w:lvl w:ilvl="0" w:tplc="BF18981A">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FC535FF"/>
    <w:multiLevelType w:val="multilevel"/>
    <w:tmpl w:val="788062BA"/>
    <w:lvl w:ilvl="0">
      <w:start w:val="1"/>
      <w:numFmt w:val="decimal"/>
      <w:lvlText w:val="%1"/>
      <w:lvlJc w:val="left"/>
      <w:pPr>
        <w:ind w:left="922" w:hanging="432"/>
      </w:pPr>
      <w:rPr>
        <w:rFonts w:hint="default"/>
        <w:color w:val="auto"/>
      </w:rPr>
    </w:lvl>
    <w:lvl w:ilvl="1">
      <w:start w:val="1"/>
      <w:numFmt w:val="decimal"/>
      <w:lvlText w:val="%2.1"/>
      <w:lvlJc w:val="left"/>
      <w:pPr>
        <w:ind w:left="1066" w:hanging="576"/>
      </w:pPr>
      <w:rPr>
        <w:rFonts w:hint="default"/>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17" w15:restartNumberingAfterBreak="0">
    <w:nsid w:val="3FD6317B"/>
    <w:multiLevelType w:val="hybridMultilevel"/>
    <w:tmpl w:val="FA3EB7F0"/>
    <w:lvl w:ilvl="0" w:tplc="3FF03A64">
      <w:numFmt w:val="bullet"/>
      <w:lvlText w:val="-"/>
      <w:lvlJc w:val="left"/>
      <w:pPr>
        <w:ind w:left="927" w:hanging="360"/>
      </w:pPr>
      <w:rPr>
        <w:rFonts w:ascii="Times New Roman" w:eastAsia="Times New Roman" w:hAnsi="Times New Roman" w:hint="default"/>
      </w:rPr>
    </w:lvl>
    <w:lvl w:ilvl="1" w:tplc="04050003">
      <w:start w:val="1"/>
      <w:numFmt w:val="bullet"/>
      <w:lvlText w:val="o"/>
      <w:lvlJc w:val="left"/>
      <w:pPr>
        <w:ind w:left="1647" w:hanging="360"/>
      </w:pPr>
      <w:rPr>
        <w:rFonts w:ascii="Courier New" w:hAnsi="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8" w15:restartNumberingAfterBreak="0">
    <w:nsid w:val="40425330"/>
    <w:multiLevelType w:val="hybridMultilevel"/>
    <w:tmpl w:val="3CD8A1AA"/>
    <w:lvl w:ilvl="0" w:tplc="97949C64">
      <w:start w:val="1"/>
      <w:numFmt w:val="decimal"/>
      <w:pStyle w:val="UZEITaB"/>
      <w:lvlText w:val="Tabulka %1"/>
      <w:lvlJc w:val="left"/>
      <w:pPr>
        <w:ind w:left="1004" w:hanging="284"/>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5EF20E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B34B3F"/>
    <w:multiLevelType w:val="hybridMultilevel"/>
    <w:tmpl w:val="B9601F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B85E71"/>
    <w:multiLevelType w:val="hybridMultilevel"/>
    <w:tmpl w:val="A8FA115C"/>
    <w:lvl w:ilvl="0" w:tplc="BF18981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C5508B"/>
    <w:multiLevelType w:val="multilevel"/>
    <w:tmpl w:val="71EC00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AF7024"/>
    <w:multiLevelType w:val="hybridMultilevel"/>
    <w:tmpl w:val="D978791C"/>
    <w:lvl w:ilvl="0" w:tplc="7DD25B08">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DA7F6D"/>
    <w:multiLevelType w:val="multilevel"/>
    <w:tmpl w:val="E3B8A484"/>
    <w:lvl w:ilvl="0">
      <w:start w:val="1"/>
      <w:numFmt w:val="decimal"/>
      <w:lvlText w:val="%1"/>
      <w:lvlJc w:val="left"/>
      <w:pPr>
        <w:ind w:left="922" w:hanging="432"/>
      </w:pPr>
      <w:rPr>
        <w:rFonts w:hint="default"/>
        <w:color w:val="auto"/>
      </w:rPr>
    </w:lvl>
    <w:lvl w:ilvl="1">
      <w:start w:val="1"/>
      <w:numFmt w:val="decimal"/>
      <w:lvlText w:val="%1.%2"/>
      <w:lvlJc w:val="left"/>
      <w:pPr>
        <w:ind w:left="1066" w:hanging="576"/>
      </w:p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25" w15:restartNumberingAfterBreak="0">
    <w:nsid w:val="556671A0"/>
    <w:multiLevelType w:val="hybridMultilevel"/>
    <w:tmpl w:val="CCC8977A"/>
    <w:lvl w:ilvl="0" w:tplc="D2B60838">
      <w:start w:val="1"/>
      <w:numFmt w:val="bullet"/>
      <w:lvlText w:val=""/>
      <w:lvlJc w:val="left"/>
      <w:pPr>
        <w:ind w:left="720" w:hanging="360"/>
      </w:pPr>
      <w:rPr>
        <w:rFonts w:ascii="Symbol" w:hAnsi="Symbol" w:hint="default"/>
      </w:rPr>
    </w:lvl>
    <w:lvl w:ilvl="1" w:tplc="C9787494">
      <w:start w:val="1"/>
      <w:numFmt w:val="bullet"/>
      <w:lvlText w:val="o"/>
      <w:lvlJc w:val="left"/>
      <w:pPr>
        <w:ind w:left="1440" w:hanging="360"/>
      </w:pPr>
      <w:rPr>
        <w:rFonts w:ascii="Courier New" w:hAnsi="Courier New" w:hint="default"/>
      </w:rPr>
    </w:lvl>
    <w:lvl w:ilvl="2" w:tplc="C6F2CE6C">
      <w:start w:val="1"/>
      <w:numFmt w:val="bullet"/>
      <w:lvlText w:val=""/>
      <w:lvlJc w:val="left"/>
      <w:pPr>
        <w:ind w:left="2160" w:hanging="360"/>
      </w:pPr>
      <w:rPr>
        <w:rFonts w:ascii="Wingdings" w:hAnsi="Wingdings" w:hint="default"/>
      </w:rPr>
    </w:lvl>
    <w:lvl w:ilvl="3" w:tplc="87E4BC06">
      <w:start w:val="1"/>
      <w:numFmt w:val="bullet"/>
      <w:lvlText w:val=""/>
      <w:lvlJc w:val="left"/>
      <w:pPr>
        <w:ind w:left="2880" w:hanging="360"/>
      </w:pPr>
      <w:rPr>
        <w:rFonts w:ascii="Symbol" w:hAnsi="Symbol" w:hint="default"/>
      </w:rPr>
    </w:lvl>
    <w:lvl w:ilvl="4" w:tplc="ADEE245A">
      <w:start w:val="1"/>
      <w:numFmt w:val="bullet"/>
      <w:lvlText w:val="o"/>
      <w:lvlJc w:val="left"/>
      <w:pPr>
        <w:ind w:left="3600" w:hanging="360"/>
      </w:pPr>
      <w:rPr>
        <w:rFonts w:ascii="Courier New" w:hAnsi="Courier New" w:hint="default"/>
      </w:rPr>
    </w:lvl>
    <w:lvl w:ilvl="5" w:tplc="07081D46">
      <w:start w:val="1"/>
      <w:numFmt w:val="bullet"/>
      <w:lvlText w:val=""/>
      <w:lvlJc w:val="left"/>
      <w:pPr>
        <w:ind w:left="4320" w:hanging="360"/>
      </w:pPr>
      <w:rPr>
        <w:rFonts w:ascii="Wingdings" w:hAnsi="Wingdings" w:hint="default"/>
      </w:rPr>
    </w:lvl>
    <w:lvl w:ilvl="6" w:tplc="4A0AB2B6">
      <w:start w:val="1"/>
      <w:numFmt w:val="bullet"/>
      <w:lvlText w:val=""/>
      <w:lvlJc w:val="left"/>
      <w:pPr>
        <w:ind w:left="5040" w:hanging="360"/>
      </w:pPr>
      <w:rPr>
        <w:rFonts w:ascii="Symbol" w:hAnsi="Symbol" w:hint="default"/>
      </w:rPr>
    </w:lvl>
    <w:lvl w:ilvl="7" w:tplc="7D4A1920">
      <w:start w:val="1"/>
      <w:numFmt w:val="bullet"/>
      <w:lvlText w:val="o"/>
      <w:lvlJc w:val="left"/>
      <w:pPr>
        <w:ind w:left="5760" w:hanging="360"/>
      </w:pPr>
      <w:rPr>
        <w:rFonts w:ascii="Courier New" w:hAnsi="Courier New" w:hint="default"/>
      </w:rPr>
    </w:lvl>
    <w:lvl w:ilvl="8" w:tplc="2CF63474">
      <w:start w:val="1"/>
      <w:numFmt w:val="bullet"/>
      <w:lvlText w:val=""/>
      <w:lvlJc w:val="left"/>
      <w:pPr>
        <w:ind w:left="6480" w:hanging="360"/>
      </w:pPr>
      <w:rPr>
        <w:rFonts w:ascii="Wingdings" w:hAnsi="Wingdings" w:hint="default"/>
      </w:rPr>
    </w:lvl>
  </w:abstractNum>
  <w:abstractNum w:abstractNumId="26" w15:restartNumberingAfterBreak="0">
    <w:nsid w:val="56926F49"/>
    <w:multiLevelType w:val="multilevel"/>
    <w:tmpl w:val="0405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7" w15:restartNumberingAfterBreak="0">
    <w:nsid w:val="634D3F02"/>
    <w:multiLevelType w:val="hybridMultilevel"/>
    <w:tmpl w:val="8A0A1728"/>
    <w:lvl w:ilvl="0" w:tplc="A9DABAC0">
      <w:start w:val="1"/>
      <w:numFmt w:val="decimal"/>
      <w:pStyle w:val="UZEIGraf"/>
      <w:lvlText w:val="Graf %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29" w15:restartNumberingAfterBreak="0">
    <w:nsid w:val="71BA4B1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EB94D29"/>
    <w:multiLevelType w:val="multilevel"/>
    <w:tmpl w:val="C35AD65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0"/>
  </w:num>
  <w:num w:numId="3">
    <w:abstractNumId w:val="2"/>
  </w:num>
  <w:num w:numId="4">
    <w:abstractNumId w:val="6"/>
  </w:num>
  <w:num w:numId="5">
    <w:abstractNumId w:val="17"/>
  </w:num>
  <w:num w:numId="6">
    <w:abstractNumId w:val="23"/>
  </w:num>
  <w:num w:numId="7">
    <w:abstractNumId w:val="8"/>
  </w:num>
  <w:num w:numId="8">
    <w:abstractNumId w:val="26"/>
  </w:num>
  <w:num w:numId="9">
    <w:abstractNumId w:val="13"/>
  </w:num>
  <w:num w:numId="10">
    <w:abstractNumId w:val="19"/>
  </w:num>
  <w:num w:numId="11">
    <w:abstractNumId w:val="31"/>
  </w:num>
  <w:num w:numId="12">
    <w:abstractNumId w:val="10"/>
  </w:num>
  <w:num w:numId="13">
    <w:abstractNumId w:val="14"/>
  </w:num>
  <w:num w:numId="14">
    <w:abstractNumId w:val="25"/>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22"/>
  </w:num>
  <w:num w:numId="19">
    <w:abstractNumId w:val="12"/>
  </w:num>
  <w:num w:numId="20">
    <w:abstractNumId w:val="0"/>
  </w:num>
  <w:num w:numId="21">
    <w:abstractNumId w:val="11"/>
  </w:num>
  <w:num w:numId="22">
    <w:abstractNumId w:val="27"/>
  </w:num>
  <w:num w:numId="23">
    <w:abstractNumId w:val="18"/>
  </w:num>
  <w:num w:numId="24">
    <w:abstractNumId w:val="30"/>
  </w:num>
  <w:num w:numId="25">
    <w:abstractNumId w:val="24"/>
  </w:num>
  <w:num w:numId="26">
    <w:abstractNumId w:val="4"/>
  </w:num>
  <w:num w:numId="27">
    <w:abstractNumId w:val="3"/>
  </w:num>
  <w:num w:numId="28">
    <w:abstractNumId w:val="7"/>
  </w:num>
  <w:num w:numId="29">
    <w:abstractNumId w:val="16"/>
  </w:num>
  <w:num w:numId="30">
    <w:abstractNumId w:val="28"/>
  </w:num>
  <w:num w:numId="31">
    <w:abstractNumId w:val="9"/>
  </w:num>
  <w:num w:numId="32">
    <w:abstractNumId w:val="29"/>
  </w:num>
  <w:num w:numId="33">
    <w:abstractNumId w:val="5"/>
  </w:num>
  <w:num w:numId="34">
    <w:abstractNumId w:val="11"/>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14"/>
    <w:rsid w:val="0000288B"/>
    <w:rsid w:val="0000432D"/>
    <w:rsid w:val="000120F7"/>
    <w:rsid w:val="00021744"/>
    <w:rsid w:val="0003417E"/>
    <w:rsid w:val="00034808"/>
    <w:rsid w:val="00034B70"/>
    <w:rsid w:val="000563E5"/>
    <w:rsid w:val="0007022C"/>
    <w:rsid w:val="00073C13"/>
    <w:rsid w:val="00076581"/>
    <w:rsid w:val="000A1E5A"/>
    <w:rsid w:val="000A4E38"/>
    <w:rsid w:val="000B4470"/>
    <w:rsid w:val="000B44F1"/>
    <w:rsid w:val="000E1A9F"/>
    <w:rsid w:val="000E3988"/>
    <w:rsid w:val="000F1F84"/>
    <w:rsid w:val="000F7485"/>
    <w:rsid w:val="00120330"/>
    <w:rsid w:val="00130FD1"/>
    <w:rsid w:val="001314DB"/>
    <w:rsid w:val="001335A6"/>
    <w:rsid w:val="00141692"/>
    <w:rsid w:val="00142A9F"/>
    <w:rsid w:val="0015020D"/>
    <w:rsid w:val="00150A53"/>
    <w:rsid w:val="00154018"/>
    <w:rsid w:val="00164CBE"/>
    <w:rsid w:val="0017024E"/>
    <w:rsid w:val="00185EDD"/>
    <w:rsid w:val="0019408F"/>
    <w:rsid w:val="001C34F1"/>
    <w:rsid w:val="001D1976"/>
    <w:rsid w:val="001E083A"/>
    <w:rsid w:val="001E7906"/>
    <w:rsid w:val="00231F37"/>
    <w:rsid w:val="00237DFB"/>
    <w:rsid w:val="0028471D"/>
    <w:rsid w:val="00297CD8"/>
    <w:rsid w:val="002A021F"/>
    <w:rsid w:val="002A4C32"/>
    <w:rsid w:val="002B411B"/>
    <w:rsid w:val="002B7246"/>
    <w:rsid w:val="002C00C9"/>
    <w:rsid w:val="002D2FC9"/>
    <w:rsid w:val="002D33D2"/>
    <w:rsid w:val="002D5D15"/>
    <w:rsid w:val="002E17B7"/>
    <w:rsid w:val="002F40B9"/>
    <w:rsid w:val="0031504D"/>
    <w:rsid w:val="0032295B"/>
    <w:rsid w:val="00331440"/>
    <w:rsid w:val="00353CF0"/>
    <w:rsid w:val="00383E11"/>
    <w:rsid w:val="003A3B75"/>
    <w:rsid w:val="003A76AB"/>
    <w:rsid w:val="003B0485"/>
    <w:rsid w:val="003B1F45"/>
    <w:rsid w:val="003B78F3"/>
    <w:rsid w:val="003C257C"/>
    <w:rsid w:val="003C2914"/>
    <w:rsid w:val="003D3D8C"/>
    <w:rsid w:val="003D58EA"/>
    <w:rsid w:val="003E2323"/>
    <w:rsid w:val="003F2F64"/>
    <w:rsid w:val="00445C7A"/>
    <w:rsid w:val="004502EF"/>
    <w:rsid w:val="004643E9"/>
    <w:rsid w:val="00467F54"/>
    <w:rsid w:val="004747F2"/>
    <w:rsid w:val="00477EC6"/>
    <w:rsid w:val="004829AE"/>
    <w:rsid w:val="004839C3"/>
    <w:rsid w:val="004A5CFF"/>
    <w:rsid w:val="004A7243"/>
    <w:rsid w:val="004B1580"/>
    <w:rsid w:val="004C6086"/>
    <w:rsid w:val="004E216F"/>
    <w:rsid w:val="004F16FD"/>
    <w:rsid w:val="004F37D3"/>
    <w:rsid w:val="00500CAA"/>
    <w:rsid w:val="00511FA4"/>
    <w:rsid w:val="00527861"/>
    <w:rsid w:val="00531FDA"/>
    <w:rsid w:val="00551481"/>
    <w:rsid w:val="00556ADE"/>
    <w:rsid w:val="00561985"/>
    <w:rsid w:val="00572587"/>
    <w:rsid w:val="00594FEF"/>
    <w:rsid w:val="005A2A38"/>
    <w:rsid w:val="005B5895"/>
    <w:rsid w:val="005B5B5D"/>
    <w:rsid w:val="005C2408"/>
    <w:rsid w:val="005C5AD9"/>
    <w:rsid w:val="005F13AA"/>
    <w:rsid w:val="00610397"/>
    <w:rsid w:val="0062006F"/>
    <w:rsid w:val="00627641"/>
    <w:rsid w:val="00640914"/>
    <w:rsid w:val="0064752C"/>
    <w:rsid w:val="00660D6A"/>
    <w:rsid w:val="006660D2"/>
    <w:rsid w:val="006752D6"/>
    <w:rsid w:val="00676C5D"/>
    <w:rsid w:val="0068225B"/>
    <w:rsid w:val="006826AD"/>
    <w:rsid w:val="00685BB7"/>
    <w:rsid w:val="00693A2B"/>
    <w:rsid w:val="006A2D3B"/>
    <w:rsid w:val="006C247D"/>
    <w:rsid w:val="006C727D"/>
    <w:rsid w:val="006E47F1"/>
    <w:rsid w:val="006F1E2C"/>
    <w:rsid w:val="007012B3"/>
    <w:rsid w:val="0071129E"/>
    <w:rsid w:val="00712635"/>
    <w:rsid w:val="00737350"/>
    <w:rsid w:val="007506B1"/>
    <w:rsid w:val="00755F54"/>
    <w:rsid w:val="007560F1"/>
    <w:rsid w:val="00764116"/>
    <w:rsid w:val="00771836"/>
    <w:rsid w:val="00784A04"/>
    <w:rsid w:val="007A0B29"/>
    <w:rsid w:val="007C634C"/>
    <w:rsid w:val="007E7D43"/>
    <w:rsid w:val="00856E96"/>
    <w:rsid w:val="0086054E"/>
    <w:rsid w:val="00860B6F"/>
    <w:rsid w:val="00864C5E"/>
    <w:rsid w:val="008660FE"/>
    <w:rsid w:val="00875ED7"/>
    <w:rsid w:val="0087790C"/>
    <w:rsid w:val="00883E5A"/>
    <w:rsid w:val="00890F29"/>
    <w:rsid w:val="00892B35"/>
    <w:rsid w:val="00892DB5"/>
    <w:rsid w:val="008A1625"/>
    <w:rsid w:val="008C417F"/>
    <w:rsid w:val="008E1893"/>
    <w:rsid w:val="008E6307"/>
    <w:rsid w:val="008F0213"/>
    <w:rsid w:val="009048BB"/>
    <w:rsid w:val="009169B4"/>
    <w:rsid w:val="009342D7"/>
    <w:rsid w:val="00936051"/>
    <w:rsid w:val="00944337"/>
    <w:rsid w:val="00951830"/>
    <w:rsid w:val="0097226E"/>
    <w:rsid w:val="00980628"/>
    <w:rsid w:val="00985124"/>
    <w:rsid w:val="00992366"/>
    <w:rsid w:val="009A2967"/>
    <w:rsid w:val="009B7557"/>
    <w:rsid w:val="009D66E5"/>
    <w:rsid w:val="009D7357"/>
    <w:rsid w:val="009E0DDD"/>
    <w:rsid w:val="009F0389"/>
    <w:rsid w:val="009F7E68"/>
    <w:rsid w:val="00A0481C"/>
    <w:rsid w:val="00A12F9A"/>
    <w:rsid w:val="00A139F2"/>
    <w:rsid w:val="00A16ECF"/>
    <w:rsid w:val="00A33537"/>
    <w:rsid w:val="00A35485"/>
    <w:rsid w:val="00A56BB6"/>
    <w:rsid w:val="00A62FC4"/>
    <w:rsid w:val="00A72D14"/>
    <w:rsid w:val="00A91275"/>
    <w:rsid w:val="00AA0662"/>
    <w:rsid w:val="00AA124D"/>
    <w:rsid w:val="00AA593D"/>
    <w:rsid w:val="00AA63B9"/>
    <w:rsid w:val="00AB13D0"/>
    <w:rsid w:val="00AB39A0"/>
    <w:rsid w:val="00AB435B"/>
    <w:rsid w:val="00AB564E"/>
    <w:rsid w:val="00AB79C2"/>
    <w:rsid w:val="00AD7D6B"/>
    <w:rsid w:val="00B01CE9"/>
    <w:rsid w:val="00B125B8"/>
    <w:rsid w:val="00B3112E"/>
    <w:rsid w:val="00B36C72"/>
    <w:rsid w:val="00B41B70"/>
    <w:rsid w:val="00B431E0"/>
    <w:rsid w:val="00B6034F"/>
    <w:rsid w:val="00B641BB"/>
    <w:rsid w:val="00B72342"/>
    <w:rsid w:val="00B725A8"/>
    <w:rsid w:val="00B87E14"/>
    <w:rsid w:val="00B90F45"/>
    <w:rsid w:val="00BA3366"/>
    <w:rsid w:val="00BA33FF"/>
    <w:rsid w:val="00BB4FF8"/>
    <w:rsid w:val="00BC51CC"/>
    <w:rsid w:val="00BE11B5"/>
    <w:rsid w:val="00BF58AB"/>
    <w:rsid w:val="00BF5B98"/>
    <w:rsid w:val="00C0297C"/>
    <w:rsid w:val="00C03E08"/>
    <w:rsid w:val="00C06675"/>
    <w:rsid w:val="00C104D5"/>
    <w:rsid w:val="00C11CEA"/>
    <w:rsid w:val="00C12022"/>
    <w:rsid w:val="00C2148F"/>
    <w:rsid w:val="00C25690"/>
    <w:rsid w:val="00C2596B"/>
    <w:rsid w:val="00C32436"/>
    <w:rsid w:val="00C32636"/>
    <w:rsid w:val="00C35E53"/>
    <w:rsid w:val="00C534D0"/>
    <w:rsid w:val="00C65942"/>
    <w:rsid w:val="00C67A0F"/>
    <w:rsid w:val="00C77415"/>
    <w:rsid w:val="00C80140"/>
    <w:rsid w:val="00C87045"/>
    <w:rsid w:val="00C91401"/>
    <w:rsid w:val="00CA30F8"/>
    <w:rsid w:val="00CA3E6F"/>
    <w:rsid w:val="00CC4B63"/>
    <w:rsid w:val="00CD28B0"/>
    <w:rsid w:val="00CD7BC4"/>
    <w:rsid w:val="00CE74C6"/>
    <w:rsid w:val="00CE78A7"/>
    <w:rsid w:val="00CF1B3C"/>
    <w:rsid w:val="00CF4AEF"/>
    <w:rsid w:val="00D2190C"/>
    <w:rsid w:val="00D35880"/>
    <w:rsid w:val="00D45604"/>
    <w:rsid w:val="00D538FB"/>
    <w:rsid w:val="00D81379"/>
    <w:rsid w:val="00D818D6"/>
    <w:rsid w:val="00D832A5"/>
    <w:rsid w:val="00D84F23"/>
    <w:rsid w:val="00DC6FCB"/>
    <w:rsid w:val="00DE560B"/>
    <w:rsid w:val="00DF2B9D"/>
    <w:rsid w:val="00E04264"/>
    <w:rsid w:val="00E27551"/>
    <w:rsid w:val="00E34AE4"/>
    <w:rsid w:val="00E40087"/>
    <w:rsid w:val="00E666BE"/>
    <w:rsid w:val="00E6701E"/>
    <w:rsid w:val="00E70C51"/>
    <w:rsid w:val="00E93FD8"/>
    <w:rsid w:val="00E95B82"/>
    <w:rsid w:val="00EB743D"/>
    <w:rsid w:val="00EC7259"/>
    <w:rsid w:val="00ED1960"/>
    <w:rsid w:val="00ED6797"/>
    <w:rsid w:val="00F0724C"/>
    <w:rsid w:val="00F12EBD"/>
    <w:rsid w:val="00F45B5D"/>
    <w:rsid w:val="00F520E8"/>
    <w:rsid w:val="00F53496"/>
    <w:rsid w:val="00F807F5"/>
    <w:rsid w:val="00F94185"/>
    <w:rsid w:val="00F9691D"/>
    <w:rsid w:val="00FB6F93"/>
    <w:rsid w:val="00FE1255"/>
    <w:rsid w:val="00FE1ED5"/>
    <w:rsid w:val="00FE2789"/>
    <w:rsid w:val="00FF31EB"/>
    <w:rsid w:val="1F26134E"/>
    <w:rsid w:val="63F241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0CF9A"/>
  <w15:chartTrackingRefBased/>
  <w15:docId w15:val="{2AC33568-4018-47F5-A811-F95F5B3E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5B98"/>
    <w:pPr>
      <w:spacing w:after="0" w:line="240" w:lineRule="auto"/>
      <w:jc w:val="both"/>
    </w:pPr>
    <w:rPr>
      <w:rFonts w:ascii="Times New Roman" w:hAnsi="Times New Roman"/>
      <w:sz w:val="24"/>
    </w:rPr>
  </w:style>
  <w:style w:type="paragraph" w:styleId="Nadpis1">
    <w:name w:val="heading 1"/>
    <w:aliases w:val="A Nadpis 1"/>
    <w:basedOn w:val="Normln"/>
    <w:next w:val="Normln"/>
    <w:link w:val="Nadpis1Char"/>
    <w:uiPriority w:val="9"/>
    <w:qFormat/>
    <w:rsid w:val="00A139F2"/>
    <w:pPr>
      <w:keepNext/>
      <w:keepLines/>
      <w:numPr>
        <w:numId w:val="19"/>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A139F2"/>
    <w:pPr>
      <w:keepNext/>
      <w:keepLines/>
      <w:numPr>
        <w:ilvl w:val="1"/>
        <w:numId w:val="19"/>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iPriority w:val="9"/>
    <w:unhideWhenUsed/>
    <w:qFormat/>
    <w:rsid w:val="00A139F2"/>
    <w:pPr>
      <w:keepNext/>
      <w:keepLines/>
      <w:numPr>
        <w:ilvl w:val="2"/>
        <w:numId w:val="19"/>
      </w:numPr>
      <w:spacing w:before="120" w:after="120"/>
      <w:outlineLvl w:val="2"/>
    </w:pPr>
    <w:rPr>
      <w:rFonts w:eastAsiaTheme="majorEastAsia" w:cstheme="majorBidi"/>
      <w:b/>
      <w:bCs/>
      <w:szCs w:val="26"/>
    </w:rPr>
  </w:style>
  <w:style w:type="paragraph" w:styleId="Nadpis4">
    <w:name w:val="heading 4"/>
    <w:basedOn w:val="Normln"/>
    <w:next w:val="Normln"/>
    <w:link w:val="Nadpis4Char"/>
    <w:uiPriority w:val="9"/>
    <w:unhideWhenUsed/>
    <w:qFormat/>
    <w:rsid w:val="006752D6"/>
    <w:pPr>
      <w:keepNext/>
      <w:keepLines/>
      <w:numPr>
        <w:ilvl w:val="3"/>
        <w:numId w:val="19"/>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nhideWhenUsed/>
    <w:qFormat/>
    <w:rsid w:val="00B87E14"/>
    <w:pPr>
      <w:keepNext/>
      <w:keepLines/>
      <w:numPr>
        <w:ilvl w:val="4"/>
        <w:numId w:val="19"/>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iPriority w:val="9"/>
    <w:semiHidden/>
    <w:unhideWhenUsed/>
    <w:qFormat/>
    <w:rsid w:val="00034B70"/>
    <w:pPr>
      <w:keepNext/>
      <w:keepLines/>
      <w:numPr>
        <w:ilvl w:val="5"/>
        <w:numId w:val="19"/>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nhideWhenUsed/>
    <w:qFormat/>
    <w:rsid w:val="00B87E14"/>
    <w:pPr>
      <w:keepNext/>
      <w:keepLines/>
      <w:numPr>
        <w:ilvl w:val="6"/>
        <w:numId w:val="19"/>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iPriority w:val="9"/>
    <w:semiHidden/>
    <w:unhideWhenUsed/>
    <w:qFormat/>
    <w:rsid w:val="006752D6"/>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6752D6"/>
    <w:pPr>
      <w:keepNext/>
      <w:keepLines/>
      <w:numPr>
        <w:ilvl w:val="8"/>
        <w:numId w:val="19"/>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ormaltextrun">
    <w:name w:val="normaltextrun"/>
    <w:basedOn w:val="Standardnpsmoodstavce"/>
    <w:rsid w:val="00B87E14"/>
  </w:style>
  <w:style w:type="paragraph" w:styleId="Textbubliny">
    <w:name w:val="Balloon Text"/>
    <w:basedOn w:val="Normln"/>
    <w:link w:val="TextbublinyChar"/>
    <w:uiPriority w:val="99"/>
    <w:semiHidden/>
    <w:unhideWhenUsed/>
    <w:rsid w:val="00B87E1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7E14"/>
    <w:rPr>
      <w:rFonts w:ascii="Segoe UI" w:hAnsi="Segoe UI" w:cs="Segoe UI"/>
      <w:sz w:val="18"/>
      <w:szCs w:val="18"/>
    </w:rPr>
  </w:style>
  <w:style w:type="character" w:customStyle="1" w:styleId="Nadpis5Char">
    <w:name w:val="Nadpis 5 Char"/>
    <w:basedOn w:val="Standardnpsmoodstavce"/>
    <w:link w:val="Nadpis5"/>
    <w:rsid w:val="00B87E14"/>
    <w:rPr>
      <w:rFonts w:ascii="Arial" w:eastAsiaTheme="majorEastAsia" w:hAnsi="Arial" w:cstheme="majorBidi"/>
      <w:sz w:val="28"/>
      <w:szCs w:val="24"/>
      <w:lang w:val="cs-CZ"/>
    </w:rPr>
  </w:style>
  <w:style w:type="character" w:customStyle="1" w:styleId="Nadpis7Char">
    <w:name w:val="Nadpis 7 Char"/>
    <w:basedOn w:val="Standardnpsmoodstavce"/>
    <w:link w:val="Nadpis7"/>
    <w:rsid w:val="00B87E14"/>
    <w:rPr>
      <w:rFonts w:ascii="Times New Roman" w:eastAsiaTheme="majorEastAsia" w:hAnsi="Times New Roman" w:cstheme="majorBidi"/>
      <w:i/>
      <w:iCs/>
      <w:color w:val="525252" w:themeColor="accent3" w:themeShade="80"/>
      <w:sz w:val="24"/>
      <w:szCs w:val="24"/>
      <w:lang w:val="cs-CZ"/>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164CBE"/>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uiPriority w:val="99"/>
    <w:qFormat/>
    <w:rsid w:val="00B87E1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uiPriority w:val="99"/>
    <w:qFormat/>
    <w:rsid w:val="00B87E14"/>
    <w:rPr>
      <w:rFonts w:ascii="Times New Roman" w:eastAsia="Calibri" w:hAnsi="Times New Roman" w:cs="Times New Roman"/>
      <w:sz w:val="20"/>
      <w:szCs w:val="20"/>
      <w:lang w:val="cs-CZ"/>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uiPriority w:val="99"/>
    <w:qFormat/>
    <w:rsid w:val="00B87E14"/>
    <w:rPr>
      <w:rFonts w:cs="Times New Roman"/>
      <w:vertAlign w:val="superscript"/>
    </w:rPr>
  </w:style>
  <w:style w:type="character" w:styleId="Odkaznakoment">
    <w:name w:val="annotation reference"/>
    <w:basedOn w:val="Standardnpsmoodstavce"/>
    <w:uiPriority w:val="99"/>
    <w:unhideWhenUsed/>
    <w:rsid w:val="00B87E14"/>
    <w:rPr>
      <w:sz w:val="16"/>
      <w:szCs w:val="16"/>
    </w:rPr>
  </w:style>
  <w:style w:type="paragraph" w:styleId="Textkomente">
    <w:name w:val="annotation text"/>
    <w:basedOn w:val="Normln"/>
    <w:link w:val="TextkomenteChar"/>
    <w:uiPriority w:val="99"/>
    <w:unhideWhenUsed/>
    <w:rsid w:val="00B87E1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B87E14"/>
    <w:rPr>
      <w:rFonts w:ascii="Times New Roman" w:eastAsia="Calibri" w:hAnsi="Times New Roman" w:cs="Times New Roman"/>
      <w:sz w:val="20"/>
      <w:szCs w:val="20"/>
      <w:lang w:val="cs-CZ"/>
    </w:rPr>
  </w:style>
  <w:style w:type="paragraph" w:customStyle="1" w:styleId="ManualNumPar1">
    <w:name w:val="Manual NumPar 1"/>
    <w:basedOn w:val="Normln"/>
    <w:next w:val="Normln"/>
    <w:rsid w:val="00B87E14"/>
    <w:pPr>
      <w:spacing w:before="120" w:after="120"/>
      <w:ind w:left="850" w:hanging="850"/>
    </w:pPr>
    <w:rPr>
      <w:rFonts w:cs="Times New Roman"/>
      <w:lang w:val="cs-CZ"/>
    </w:rPr>
  </w:style>
  <w:style w:type="paragraph" w:customStyle="1" w:styleId="Titrearticle">
    <w:name w:val="Titre article"/>
    <w:basedOn w:val="Normln"/>
    <w:next w:val="Normln"/>
    <w:rsid w:val="00B87E14"/>
    <w:pPr>
      <w:keepNext/>
      <w:spacing w:before="360" w:after="120"/>
      <w:jc w:val="center"/>
    </w:pPr>
    <w:rPr>
      <w:rFonts w:cs="Times New Roman"/>
      <w:i/>
      <w:lang w:val="cs-CZ"/>
    </w:rPr>
  </w:style>
  <w:style w:type="paragraph" w:customStyle="1" w:styleId="Point1">
    <w:name w:val="Point 1"/>
    <w:basedOn w:val="Normln"/>
    <w:rsid w:val="00B87E14"/>
    <w:pPr>
      <w:spacing w:before="120" w:after="120"/>
      <w:ind w:left="1417" w:hanging="567"/>
    </w:pPr>
    <w:rPr>
      <w:rFonts w:cs="Times New Roman"/>
      <w:lang w:val="cs-CZ"/>
    </w:rPr>
  </w:style>
  <w:style w:type="paragraph" w:customStyle="1" w:styleId="ManualConsidrant">
    <w:name w:val="Manual Considérant"/>
    <w:basedOn w:val="Normln"/>
    <w:rsid w:val="00B87E14"/>
    <w:pPr>
      <w:spacing w:before="120" w:after="120"/>
      <w:ind w:left="709" w:hanging="709"/>
    </w:pPr>
    <w:rPr>
      <w:rFonts w:cs="Times New Roman"/>
      <w:lang w:val="cs-CZ"/>
    </w:rPr>
  </w:style>
  <w:style w:type="paragraph" w:customStyle="1" w:styleId="Point2">
    <w:name w:val="Point 2"/>
    <w:basedOn w:val="Normln"/>
    <w:rsid w:val="00B87E14"/>
    <w:pPr>
      <w:spacing w:before="120" w:after="120"/>
      <w:ind w:left="1984" w:hanging="567"/>
    </w:pPr>
    <w:rPr>
      <w:rFonts w:cs="Times New Roman"/>
      <w:lang w:val="cs-CZ"/>
    </w:rPr>
  </w:style>
  <w:style w:type="paragraph" w:customStyle="1" w:styleId="Text1">
    <w:name w:val="Text 1"/>
    <w:basedOn w:val="Normln"/>
    <w:rsid w:val="00B87E14"/>
    <w:pPr>
      <w:spacing w:before="120" w:after="120"/>
      <w:ind w:left="850"/>
    </w:pPr>
    <w:rPr>
      <w:rFonts w:cs="Times New Roman"/>
      <w:szCs w:val="24"/>
    </w:rPr>
  </w:style>
  <w:style w:type="character" w:styleId="Siln">
    <w:name w:val="Strong"/>
    <w:basedOn w:val="Standardnpsmoodstavce"/>
    <w:uiPriority w:val="22"/>
    <w:qFormat/>
    <w:rsid w:val="00B87E1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164CBE"/>
    <w:rPr>
      <w:rFonts w:ascii="Times New Roman" w:eastAsia="Calibri" w:hAnsi="Times New Roman" w:cs="Times New Roman"/>
      <w:sz w:val="24"/>
      <w:szCs w:val="24"/>
      <w:lang w:val="cs-CZ"/>
    </w:rPr>
  </w:style>
  <w:style w:type="paragraph" w:styleId="Zhlav">
    <w:name w:val="header"/>
    <w:basedOn w:val="Normln"/>
    <w:link w:val="ZhlavChar"/>
    <w:uiPriority w:val="99"/>
    <w:unhideWhenUsed/>
    <w:rsid w:val="00B87E14"/>
    <w:pPr>
      <w:tabs>
        <w:tab w:val="center" w:pos="4513"/>
        <w:tab w:val="right" w:pos="9026"/>
      </w:tabs>
    </w:pPr>
  </w:style>
  <w:style w:type="character" w:customStyle="1" w:styleId="ZhlavChar">
    <w:name w:val="Záhlaví Char"/>
    <w:basedOn w:val="Standardnpsmoodstavce"/>
    <w:link w:val="Zhlav"/>
    <w:uiPriority w:val="99"/>
    <w:rsid w:val="00B87E14"/>
    <w:rPr>
      <w:rFonts w:ascii="Times New Roman" w:hAnsi="Times New Roman"/>
      <w:sz w:val="24"/>
    </w:rPr>
  </w:style>
  <w:style w:type="paragraph" w:styleId="Zpat">
    <w:name w:val="footer"/>
    <w:basedOn w:val="Normln"/>
    <w:link w:val="ZpatChar"/>
    <w:uiPriority w:val="99"/>
    <w:unhideWhenUsed/>
    <w:rsid w:val="00B87E14"/>
    <w:pPr>
      <w:tabs>
        <w:tab w:val="center" w:pos="4513"/>
        <w:tab w:val="right" w:pos="9026"/>
      </w:tabs>
    </w:pPr>
  </w:style>
  <w:style w:type="character" w:customStyle="1" w:styleId="ZpatChar">
    <w:name w:val="Zápatí Char"/>
    <w:basedOn w:val="Standardnpsmoodstavce"/>
    <w:link w:val="Zpat"/>
    <w:uiPriority w:val="99"/>
    <w:rsid w:val="00B87E14"/>
    <w:rPr>
      <w:rFonts w:ascii="Times New Roman" w:hAnsi="Times New Roman"/>
      <w:sz w:val="24"/>
    </w:rPr>
  </w:style>
  <w:style w:type="character" w:customStyle="1" w:styleId="Nadpis1Char">
    <w:name w:val="Nadpis 1 Char"/>
    <w:aliases w:val="A Nadpis 1 Char"/>
    <w:basedOn w:val="Standardnpsmoodstavce"/>
    <w:link w:val="Nadpis1"/>
    <w:uiPriority w:val="9"/>
    <w:rsid w:val="00A139F2"/>
    <w:rPr>
      <w:rFonts w:ascii="Times New Roman" w:eastAsiaTheme="majorEastAsia" w:hAnsi="Times New Roman" w:cs="Times New Roman"/>
      <w:b/>
      <w:bCs/>
      <w:sz w:val="28"/>
      <w:szCs w:val="32"/>
      <w:lang w:val="cs-CZ"/>
    </w:rPr>
  </w:style>
  <w:style w:type="character" w:customStyle="1" w:styleId="Nadpis2Char">
    <w:name w:val="Nadpis 2 Char"/>
    <w:aliases w:val="A Nadpis 2 Char"/>
    <w:basedOn w:val="Standardnpsmoodstavce"/>
    <w:link w:val="Nadpis2"/>
    <w:uiPriority w:val="9"/>
    <w:rsid w:val="00A139F2"/>
    <w:rPr>
      <w:rFonts w:ascii="Times New Roman" w:eastAsiaTheme="majorEastAsia" w:hAnsi="Times New Roman" w:cs="Times New Roman"/>
      <w:b/>
      <w:bCs/>
      <w:sz w:val="26"/>
      <w:szCs w:val="28"/>
      <w:lang w:val="cs-CZ"/>
    </w:rPr>
  </w:style>
  <w:style w:type="character" w:customStyle="1" w:styleId="Nadpis3Char">
    <w:name w:val="Nadpis 3 Char"/>
    <w:aliases w:val="A Nadpis 3 Char"/>
    <w:basedOn w:val="Standardnpsmoodstavce"/>
    <w:link w:val="Nadpis3"/>
    <w:uiPriority w:val="9"/>
    <w:rsid w:val="00A139F2"/>
    <w:rPr>
      <w:rFonts w:ascii="Times New Roman" w:eastAsiaTheme="majorEastAsia" w:hAnsi="Times New Roman" w:cstheme="majorBidi"/>
      <w:b/>
      <w:bCs/>
      <w:sz w:val="24"/>
      <w:szCs w:val="26"/>
    </w:rPr>
  </w:style>
  <w:style w:type="paragraph" w:styleId="Nadpisobsahu">
    <w:name w:val="TOC Heading"/>
    <w:basedOn w:val="Nadpis1"/>
    <w:next w:val="Normln"/>
    <w:uiPriority w:val="39"/>
    <w:unhideWhenUsed/>
    <w:qFormat/>
    <w:rsid w:val="0000288B"/>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C0297C"/>
    <w:pPr>
      <w:tabs>
        <w:tab w:val="right" w:leader="dot" w:pos="9016"/>
      </w:tabs>
      <w:spacing w:before="120" w:after="120"/>
      <w:jc w:val="left"/>
    </w:pPr>
    <w:rPr>
      <w:b/>
      <w:bCs/>
      <w:caps/>
      <w:sz w:val="20"/>
      <w:szCs w:val="20"/>
    </w:rPr>
  </w:style>
  <w:style w:type="paragraph" w:styleId="Obsah3">
    <w:name w:val="toc 3"/>
    <w:basedOn w:val="Normln"/>
    <w:next w:val="Normln"/>
    <w:autoRedefine/>
    <w:uiPriority w:val="39"/>
    <w:unhideWhenUsed/>
    <w:rsid w:val="00A72D14"/>
    <w:pPr>
      <w:ind w:left="480"/>
      <w:jc w:val="left"/>
    </w:pPr>
    <w:rPr>
      <w:i/>
      <w:iCs/>
      <w:sz w:val="20"/>
      <w:szCs w:val="20"/>
    </w:rPr>
  </w:style>
  <w:style w:type="character" w:styleId="Hypertextovodkaz">
    <w:name w:val="Hyperlink"/>
    <w:basedOn w:val="Standardnpsmoodstavce"/>
    <w:uiPriority w:val="99"/>
    <w:unhideWhenUsed/>
    <w:rsid w:val="0000288B"/>
    <w:rPr>
      <w:color w:val="0563C1" w:themeColor="hyperlink"/>
      <w:u w:val="single"/>
    </w:rPr>
  </w:style>
  <w:style w:type="character" w:customStyle="1" w:styleId="Nadpis6Char">
    <w:name w:val="Nadpis 6 Char"/>
    <w:basedOn w:val="Standardnpsmoodstavce"/>
    <w:link w:val="Nadpis6"/>
    <w:uiPriority w:val="9"/>
    <w:semiHidden/>
    <w:rsid w:val="00034B70"/>
    <w:rPr>
      <w:rFonts w:ascii="Times New Roman" w:eastAsiaTheme="majorEastAsia" w:hAnsi="Times New Roman" w:cstheme="majorBidi"/>
      <w:b/>
      <w:i/>
      <w:color w:val="385623" w:themeColor="accent6" w:themeShade="80"/>
      <w:sz w:val="24"/>
    </w:rPr>
  </w:style>
  <w:style w:type="paragraph" w:styleId="Titulek">
    <w:name w:val="caption"/>
    <w:basedOn w:val="Normln"/>
    <w:next w:val="Normln"/>
    <w:uiPriority w:val="35"/>
    <w:qFormat/>
    <w:rsid w:val="0000288B"/>
    <w:pPr>
      <w:keepNext/>
      <w:spacing w:after="120"/>
    </w:pPr>
    <w:rPr>
      <w:rFonts w:eastAsia="Calibri" w:cs="Times New Roman"/>
      <w:b/>
      <w:bCs/>
      <w:szCs w:val="20"/>
      <w:lang w:val="cs-CZ"/>
    </w:rPr>
  </w:style>
  <w:style w:type="paragraph" w:customStyle="1" w:styleId="Zdroj">
    <w:name w:val="Zdroj"/>
    <w:basedOn w:val="Normln"/>
    <w:qFormat/>
    <w:rsid w:val="0000288B"/>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00288B"/>
    <w:pPr>
      <w:spacing w:after="0" w:line="240" w:lineRule="auto"/>
    </w:pPr>
    <w:rPr>
      <w:rFonts w:ascii="Calibri" w:eastAsia="Calibri" w:hAnsi="Calibri" w:cs="Times New Roman"/>
      <w:lang w:val="cs-CZ"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00288B"/>
    <w:pPr>
      <w:autoSpaceDE w:val="0"/>
      <w:autoSpaceDN w:val="0"/>
      <w:adjustRightInd w:val="0"/>
      <w:spacing w:after="0" w:line="240" w:lineRule="auto"/>
    </w:pPr>
    <w:rPr>
      <w:rFonts w:ascii="Times New Roman" w:eastAsiaTheme="minorEastAsia" w:hAnsi="Times New Roman" w:cs="Times New Roman"/>
      <w:color w:val="000000"/>
      <w:sz w:val="24"/>
      <w:szCs w:val="24"/>
      <w:lang w:val="cs-CZ"/>
    </w:rPr>
  </w:style>
  <w:style w:type="paragraph" w:styleId="Obsah2">
    <w:name w:val="toc 2"/>
    <w:basedOn w:val="Normln"/>
    <w:next w:val="Normln"/>
    <w:autoRedefine/>
    <w:uiPriority w:val="39"/>
    <w:unhideWhenUsed/>
    <w:rsid w:val="00A72D14"/>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CF4AEF"/>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CF4AEF"/>
    <w:rPr>
      <w:rFonts w:ascii="Times New Roman" w:eastAsia="Calibri" w:hAnsi="Times New Roman" w:cs="Times New Roman"/>
      <w:b/>
      <w:bCs/>
      <w:sz w:val="20"/>
      <w:szCs w:val="20"/>
      <w:lang w:val="cs-CZ"/>
    </w:rPr>
  </w:style>
  <w:style w:type="character" w:customStyle="1" w:styleId="shorttext">
    <w:name w:val="short_text"/>
    <w:basedOn w:val="Standardnpsmoodstavce"/>
    <w:rsid w:val="00130FD1"/>
  </w:style>
  <w:style w:type="character" w:styleId="PromnnHTML">
    <w:name w:val="HTML Variable"/>
    <w:basedOn w:val="Standardnpsmoodstavce"/>
    <w:uiPriority w:val="99"/>
    <w:semiHidden/>
    <w:unhideWhenUsed/>
    <w:rsid w:val="00130FD1"/>
    <w:rPr>
      <w:i/>
      <w:iCs/>
    </w:rPr>
  </w:style>
  <w:style w:type="paragraph" w:customStyle="1" w:styleId="TabPramZprac">
    <w:name w:val="TabPramZprac"/>
    <w:basedOn w:val="Normln"/>
    <w:next w:val="Normln"/>
    <w:link w:val="TabPramZpracChar"/>
    <w:rsid w:val="00130FD1"/>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130FD1"/>
    <w:rPr>
      <w:rFonts w:ascii="Arial" w:eastAsia="Times New Roman" w:hAnsi="Arial" w:cs="Arial"/>
      <w:i/>
      <w:iCs/>
      <w:sz w:val="16"/>
      <w:szCs w:val="15"/>
      <w:lang w:val="x-none" w:eastAsia="x-none"/>
    </w:rPr>
  </w:style>
  <w:style w:type="character" w:customStyle="1" w:styleId="Nadpis4Char">
    <w:name w:val="Nadpis 4 Char"/>
    <w:basedOn w:val="Standardnpsmoodstavce"/>
    <w:link w:val="Nadpis4"/>
    <w:uiPriority w:val="9"/>
    <w:semiHidden/>
    <w:rsid w:val="006752D6"/>
    <w:rPr>
      <w:rFonts w:asciiTheme="majorHAnsi" w:eastAsiaTheme="majorEastAsia" w:hAnsiTheme="majorHAnsi" w:cstheme="majorBidi"/>
      <w:i/>
      <w:iCs/>
      <w:color w:val="2F5496" w:themeColor="accent1" w:themeShade="BF"/>
      <w:sz w:val="24"/>
    </w:rPr>
  </w:style>
  <w:style w:type="character" w:customStyle="1" w:styleId="Nadpis8Char">
    <w:name w:val="Nadpis 8 Char"/>
    <w:basedOn w:val="Standardnpsmoodstavce"/>
    <w:link w:val="Nadpis8"/>
    <w:uiPriority w:val="9"/>
    <w:semiHidden/>
    <w:rsid w:val="006752D6"/>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6752D6"/>
    <w:rPr>
      <w:rFonts w:asciiTheme="majorHAnsi" w:eastAsiaTheme="majorEastAsia" w:hAnsiTheme="majorHAnsi" w:cstheme="majorBidi"/>
      <w:i/>
      <w:iCs/>
      <w:color w:val="272727" w:themeColor="text1" w:themeTint="D8"/>
      <w:sz w:val="21"/>
      <w:szCs w:val="21"/>
    </w:rPr>
  </w:style>
  <w:style w:type="paragraph" w:styleId="Podnadpis">
    <w:name w:val="Subtitle"/>
    <w:basedOn w:val="Normln"/>
    <w:next w:val="Normln"/>
    <w:link w:val="PodnadpisChar"/>
    <w:uiPriority w:val="11"/>
    <w:qFormat/>
    <w:rsid w:val="00C35E53"/>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C35E53"/>
    <w:rPr>
      <w:rFonts w:ascii="Times New Roman" w:eastAsiaTheme="minorEastAsia" w:hAnsi="Times New Roman"/>
      <w:i/>
      <w:noProof/>
      <w:color w:val="000000" w:themeColor="text1"/>
      <w:spacing w:val="15"/>
      <w:sz w:val="24"/>
    </w:rPr>
  </w:style>
  <w:style w:type="paragraph" w:customStyle="1" w:styleId="UZEINadpis1st">
    <w:name w:val="UZEI Nadpis 1.st"/>
    <w:basedOn w:val="Nadpis1"/>
    <w:link w:val="UZEINadpis1stChar"/>
    <w:qFormat/>
    <w:rsid w:val="006660D2"/>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84A04"/>
    <w:pPr>
      <w:numPr>
        <w:numId w:val="30"/>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6660D2"/>
    <w:rPr>
      <w:rFonts w:ascii="Times New Roman" w:eastAsiaTheme="majorEastAsia" w:hAnsi="Times New Roman" w:cstheme="majorBidi"/>
      <w:b/>
      <w:bCs w:val="0"/>
      <w:color w:val="000000" w:themeColor="text1"/>
      <w:sz w:val="28"/>
      <w:szCs w:val="32"/>
      <w:lang w:val="cs-CZ" w:eastAsia="cs-CZ"/>
    </w:rPr>
  </w:style>
  <w:style w:type="paragraph" w:customStyle="1" w:styleId="UZEINadpis3st">
    <w:name w:val="UZEI Nadpis 3.st"/>
    <w:basedOn w:val="Nadpis3"/>
    <w:link w:val="UZEINadpis3stChar"/>
    <w:qFormat/>
    <w:rsid w:val="006660D2"/>
    <w:pPr>
      <w:numPr>
        <w:ilvl w:val="0"/>
        <w:numId w:val="26"/>
      </w:numPr>
      <w:spacing w:line="300" w:lineRule="atLeast"/>
      <w:ind w:hanging="578"/>
    </w:pPr>
    <w:rPr>
      <w:bCs w:val="0"/>
      <w:i/>
      <w:color w:val="000000" w:themeColor="text1"/>
      <w:szCs w:val="24"/>
      <w:lang w:val="cs-CZ" w:eastAsia="cs-CZ"/>
    </w:rPr>
  </w:style>
  <w:style w:type="character" w:customStyle="1" w:styleId="UZEINadpis2stChar">
    <w:name w:val="UZEI Nadpis 2.st Char"/>
    <w:basedOn w:val="Nadpis2Char"/>
    <w:link w:val="UZEINadpis2st"/>
    <w:rsid w:val="006660D2"/>
    <w:rPr>
      <w:rFonts w:ascii="Times New Roman" w:eastAsiaTheme="majorEastAsia" w:hAnsi="Times New Roman" w:cstheme="majorBidi"/>
      <w:b/>
      <w:bCs w:val="0"/>
      <w:color w:val="000000" w:themeColor="text1"/>
      <w:sz w:val="26"/>
      <w:szCs w:val="26"/>
      <w:lang w:val="cs-CZ" w:eastAsia="cs-CZ"/>
    </w:rPr>
  </w:style>
  <w:style w:type="paragraph" w:customStyle="1" w:styleId="UZEINormaln">
    <w:name w:val="UZEI Normalní"/>
    <w:basedOn w:val="Normln"/>
    <w:link w:val="UZEINormalnChar"/>
    <w:qFormat/>
    <w:rsid w:val="0031504D"/>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6660D2"/>
    <w:rPr>
      <w:rFonts w:ascii="Times New Roman" w:eastAsiaTheme="majorEastAsia" w:hAnsi="Times New Roman" w:cstheme="majorBidi"/>
      <w:b/>
      <w:bCs w:val="0"/>
      <w:i/>
      <w:color w:val="000000" w:themeColor="text1"/>
      <w:sz w:val="24"/>
      <w:szCs w:val="24"/>
      <w:lang w:val="cs-CZ" w:eastAsia="cs-CZ"/>
    </w:rPr>
  </w:style>
  <w:style w:type="paragraph" w:customStyle="1" w:styleId="UZEIOdrky">
    <w:name w:val="UZEI Odrážky"/>
    <w:basedOn w:val="Normln"/>
    <w:link w:val="UZEIOdrkyChar"/>
    <w:qFormat/>
    <w:rsid w:val="00BA3366"/>
    <w:pPr>
      <w:numPr>
        <w:numId w:val="21"/>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31504D"/>
    <w:rPr>
      <w:rFonts w:ascii="Times New Roman" w:eastAsia="Times New Roman" w:hAnsi="Times New Roman" w:cstheme="minorHAnsi"/>
      <w:sz w:val="24"/>
      <w:szCs w:val="24"/>
      <w:lang w:val="cs-CZ" w:eastAsia="cs-CZ"/>
    </w:rPr>
  </w:style>
  <w:style w:type="paragraph" w:customStyle="1" w:styleId="UZEINadpis4st">
    <w:name w:val="UZEI Nadpis 4.st"/>
    <w:basedOn w:val="Normln"/>
    <w:link w:val="UZEINadpis4stChar"/>
    <w:qFormat/>
    <w:rsid w:val="006660D2"/>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BA3366"/>
    <w:rPr>
      <w:rFonts w:ascii="Times New Roman" w:eastAsia="Times New Roman" w:hAnsi="Times New Roman" w:cs="Calibri"/>
      <w:color w:val="000000"/>
      <w:sz w:val="24"/>
      <w:szCs w:val="24"/>
      <w:lang w:val="cs-CZ"/>
    </w:rPr>
  </w:style>
  <w:style w:type="character" w:customStyle="1" w:styleId="UZEINadpis4stChar">
    <w:name w:val="UZEI Nadpis 4.st Char"/>
    <w:basedOn w:val="Standardnpsmoodstavce"/>
    <w:link w:val="UZEINadpis4st"/>
    <w:rsid w:val="006660D2"/>
    <w:rPr>
      <w:rFonts w:ascii="Times New Roman" w:eastAsia="Times New Roman" w:hAnsi="Times New Roman" w:cs="Arial"/>
      <w:b/>
      <w:bCs/>
      <w:sz w:val="24"/>
      <w:szCs w:val="24"/>
      <w:lang w:val="cs-CZ" w:eastAsia="cs-CZ"/>
    </w:rPr>
  </w:style>
  <w:style w:type="paragraph" w:customStyle="1" w:styleId="UZEILiteratura">
    <w:name w:val="UZEI Literatura"/>
    <w:basedOn w:val="Normln"/>
    <w:link w:val="UZEILiteraturaChar"/>
    <w:qFormat/>
    <w:rsid w:val="006660D2"/>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6660D2"/>
    <w:rPr>
      <w:rFonts w:ascii="Times New Roman" w:eastAsia="Times New Roman" w:hAnsi="Times New Roman" w:cstheme="minorHAnsi"/>
      <w:sz w:val="20"/>
      <w:szCs w:val="20"/>
      <w:lang w:val="cs-CZ" w:eastAsia="cs-CZ"/>
    </w:rPr>
  </w:style>
  <w:style w:type="paragraph" w:customStyle="1" w:styleId="UZEIZdroj">
    <w:name w:val="UZEI Zdroj"/>
    <w:basedOn w:val="Normln"/>
    <w:qFormat/>
    <w:rsid w:val="006660D2"/>
    <w:pPr>
      <w:spacing w:after="120"/>
    </w:pPr>
    <w:rPr>
      <w:rFonts w:eastAsia="Calibri" w:cs="Times New Roman"/>
      <w:i/>
      <w:iCs/>
      <w:sz w:val="20"/>
      <w:szCs w:val="24"/>
      <w:lang w:val="cs-CZ"/>
    </w:rPr>
  </w:style>
  <w:style w:type="paragraph" w:customStyle="1" w:styleId="UZEIGraf">
    <w:name w:val="UZEI Graf"/>
    <w:basedOn w:val="Normln"/>
    <w:link w:val="UZEIGrafChar"/>
    <w:qFormat/>
    <w:rsid w:val="006660D2"/>
    <w:pPr>
      <w:numPr>
        <w:numId w:val="22"/>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6660D2"/>
    <w:pPr>
      <w:numPr>
        <w:numId w:val="0"/>
      </w:numPr>
    </w:pPr>
  </w:style>
  <w:style w:type="character" w:customStyle="1" w:styleId="UZEIGrafChar">
    <w:name w:val="UZEI Graf Char"/>
    <w:basedOn w:val="UZEILiteraturaChar"/>
    <w:link w:val="UZEIGraf"/>
    <w:rsid w:val="006660D2"/>
    <w:rPr>
      <w:rFonts w:ascii="Times New Roman" w:eastAsia="Times New Roman" w:hAnsi="Times New Roman" w:cs="Arial"/>
      <w:b/>
      <w:sz w:val="20"/>
      <w:szCs w:val="20"/>
      <w:lang w:val="cs-CZ" w:eastAsia="cs-CZ"/>
    </w:rPr>
  </w:style>
  <w:style w:type="paragraph" w:customStyle="1" w:styleId="UZEINadpis2stbezsla">
    <w:name w:val="UZEI Nadpis 2. st bez čísla"/>
    <w:basedOn w:val="UZEINadpis2st"/>
    <w:link w:val="UZEINadpis2stbezslaChar"/>
    <w:qFormat/>
    <w:rsid w:val="006660D2"/>
    <w:pPr>
      <w:ind w:left="0" w:firstLine="0"/>
    </w:pPr>
  </w:style>
  <w:style w:type="character" w:customStyle="1" w:styleId="UZEINadpis1stbezslaChar">
    <w:name w:val="UZEI Nadpis 1. st.  bez čísla Char"/>
    <w:basedOn w:val="UZEIGrafChar"/>
    <w:link w:val="UZEINadpis1stbezsla"/>
    <w:rsid w:val="006660D2"/>
    <w:rPr>
      <w:rFonts w:ascii="Times New Roman" w:eastAsiaTheme="majorEastAsia" w:hAnsi="Times New Roman" w:cstheme="majorBidi"/>
      <w:b/>
      <w:color w:val="000000" w:themeColor="text1"/>
      <w:sz w:val="28"/>
      <w:szCs w:val="32"/>
      <w:lang w:val="cs-CZ" w:eastAsia="cs-CZ"/>
    </w:rPr>
  </w:style>
  <w:style w:type="character" w:customStyle="1" w:styleId="UZEINadpis2stbezslaChar">
    <w:name w:val="UZEI Nadpis 2. st bez čísla Char"/>
    <w:basedOn w:val="Standardnpsmoodstavce"/>
    <w:link w:val="UZEINadpis2stbezsla"/>
    <w:rsid w:val="006660D2"/>
    <w:rPr>
      <w:rFonts w:ascii="Times New Roman" w:eastAsiaTheme="majorEastAsia" w:hAnsi="Times New Roman" w:cstheme="majorBidi"/>
      <w:b/>
      <w:color w:val="000000" w:themeColor="text1"/>
      <w:sz w:val="26"/>
      <w:szCs w:val="26"/>
      <w:lang w:val="cs-CZ" w:eastAsia="cs-CZ"/>
    </w:rPr>
  </w:style>
  <w:style w:type="paragraph" w:customStyle="1" w:styleId="UZEITaB">
    <w:name w:val="UZEI TaB"/>
    <w:basedOn w:val="UZEIGraf"/>
    <w:link w:val="UZEITaBChar"/>
    <w:qFormat/>
    <w:rsid w:val="0087790C"/>
    <w:pPr>
      <w:numPr>
        <w:numId w:val="23"/>
      </w:numPr>
      <w:ind w:left="993" w:hanging="993"/>
      <w:jc w:val="left"/>
    </w:pPr>
    <w:rPr>
      <w:color w:val="000000" w:themeColor="text1"/>
    </w:rPr>
  </w:style>
  <w:style w:type="paragraph" w:customStyle="1" w:styleId="UZEIObr">
    <w:name w:val="UZEI Obr"/>
    <w:basedOn w:val="UZEIGraf"/>
    <w:link w:val="UZEIObrChar"/>
    <w:qFormat/>
    <w:rsid w:val="00E04264"/>
    <w:pPr>
      <w:numPr>
        <w:numId w:val="24"/>
      </w:numPr>
      <w:ind w:left="0" w:firstLine="0"/>
    </w:pPr>
    <w:rPr>
      <w:noProof/>
    </w:rPr>
  </w:style>
  <w:style w:type="character" w:customStyle="1" w:styleId="UZEITaBChar">
    <w:name w:val="UZEI TaB Char"/>
    <w:basedOn w:val="UZEINadpis2stbezslaChar"/>
    <w:link w:val="UZEITaB"/>
    <w:rsid w:val="0087790C"/>
    <w:rPr>
      <w:rFonts w:ascii="Times New Roman" w:eastAsia="Times New Roman" w:hAnsi="Times New Roman" w:cs="Arial"/>
      <w:b/>
      <w:color w:val="000000" w:themeColor="text1"/>
      <w:sz w:val="20"/>
      <w:szCs w:val="20"/>
      <w:lang w:val="cs-CZ" w:eastAsia="cs-CZ"/>
    </w:rPr>
  </w:style>
  <w:style w:type="character" w:customStyle="1" w:styleId="UZEIObrChar">
    <w:name w:val="UZEI Obr Char"/>
    <w:basedOn w:val="UZEINormalnChar"/>
    <w:link w:val="UZEIObr"/>
    <w:rsid w:val="00E04264"/>
    <w:rPr>
      <w:rFonts w:ascii="Times New Roman" w:eastAsia="Times New Roman" w:hAnsi="Times New Roman" w:cs="Arial"/>
      <w:b/>
      <w:noProof/>
      <w:sz w:val="20"/>
      <w:szCs w:val="20"/>
      <w:lang w:val="cs-CZ" w:eastAsia="cs-CZ"/>
    </w:rPr>
  </w:style>
  <w:style w:type="paragraph" w:customStyle="1" w:styleId="st-nazev">
    <w:name w:val="st-nazev"/>
    <w:basedOn w:val="Normln"/>
    <w:next w:val="Normln"/>
    <w:rsid w:val="00D81379"/>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D81379"/>
    <w:pPr>
      <w:spacing w:before="6000"/>
      <w:jc w:val="center"/>
    </w:pPr>
    <w:rPr>
      <w:rFonts w:eastAsia="Times New Roman" w:cs="Times New Roman"/>
      <w:b/>
      <w:szCs w:val="23"/>
      <w:lang w:val="cs-CZ" w:eastAsia="cs-CZ"/>
    </w:rPr>
  </w:style>
  <w:style w:type="paragraph" w:customStyle="1" w:styleId="UZEI">
    <w:name w:val="UZEI"/>
    <w:basedOn w:val="Normln"/>
    <w:next w:val="Normln"/>
    <w:rsid w:val="00D81379"/>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A72D14"/>
    <w:pPr>
      <w:ind w:left="720"/>
      <w:jc w:val="left"/>
    </w:pPr>
    <w:rPr>
      <w:sz w:val="20"/>
      <w:szCs w:val="18"/>
    </w:rPr>
  </w:style>
  <w:style w:type="paragraph" w:styleId="Obsah5">
    <w:name w:val="toc 5"/>
    <w:basedOn w:val="Normln"/>
    <w:next w:val="Normln"/>
    <w:autoRedefine/>
    <w:uiPriority w:val="39"/>
    <w:unhideWhenUsed/>
    <w:rsid w:val="00DF2B9D"/>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DF2B9D"/>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DF2B9D"/>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DF2B9D"/>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DF2B9D"/>
    <w:pPr>
      <w:ind w:left="1920"/>
      <w:jc w:val="left"/>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06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sites/info/files/food-farming-fisheries/events/improving-access-to-funding-young-farmers_en.pdf" TargetMode="External"/><Relationship Id="rId1"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Simpachova\Documents\SZP%202020-2027\SZP%202020+%20Mlad&#237;%20zem&#283;d&#283;lci\Data%20z%20registru,%20LPIS,%20FADN\Data%20z%20FADN\FADN%20-%20mlad&#237;%20zem&#283;d&#283;lc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impachova\Documents\SZP%202020-2027\SZP%202020+%20Mlad&#237;%20zem&#283;d&#283;lci\Data%20z%20registru,%20LPIS,%20FADN\Data%20z%20FADN\Mal&#233;%20zem&#283;d&#283;lsk&#233;%20subjekty.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impachova\Documents\SZP%202020-2027\SZP%202020+%20Mlad&#237;%20zem&#283;d&#283;lci\Data%20z%20registru,%20LPIS,%20FADN\Data%20z%20FADN\Mal&#233;%20zem&#283;d&#283;lsk&#233;%20subjekty.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impachova\Documents\SZP%202020-2027\SZP%202020+%20Mlad&#237;%20zem&#283;d&#283;lci\Data%20z%20registru,%20LPIS,%20FADN\Data%20z%20FADN\Data%20FADN%202016-18-vymezen&#237;%20SO%20pro%20mlad&#233;%20zem&#283;d&#283;lc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impachova\Documents\SZP%202020-2027\SZP%202020+%20Mlad&#237;%20zem&#283;d&#283;lci\Data%20z%20registru,%20LPIS,%20FADN\Data%20z%20FADN\Data%20FADN%202016-18-vymezen&#237;%20SO%20pro%20mlad&#233;%20zem&#283;d&#283;lc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impachova\Documents\IVP&#269;ka\IVP%202018\IVP%20Mlad&#237;%20zem&#283;d&#283;lci%20v%20&#268;R\Mlad&#253;_zem&#283;d&#283;lec%20PGRLF%20-%20rozbor%202007%20-%202017.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6.5166286779941976E-2"/>
          <c:y val="5.0925925925925923E-2"/>
          <c:w val="0.6889537574250586"/>
          <c:h val="0.78549696786893586"/>
        </c:manualLayout>
      </c:layout>
      <c:lineChart>
        <c:grouping val="standard"/>
        <c:varyColors val="0"/>
        <c:ser>
          <c:idx val="0"/>
          <c:order val="0"/>
          <c:tx>
            <c:v>Mladí začínající zemědělci</c:v>
          </c:tx>
          <c:spPr>
            <a:ln w="28575" cap="rnd">
              <a:solidFill>
                <a:schemeClr val="accent3">
                  <a:shade val="76000"/>
                </a:schemeClr>
              </a:solidFill>
              <a:round/>
            </a:ln>
            <a:effectLst/>
          </c:spPr>
          <c:marker>
            <c:symbol val="circle"/>
            <c:size val="5"/>
            <c:spPr>
              <a:solidFill>
                <a:schemeClr val="accent3">
                  <a:shade val="76000"/>
                </a:schemeClr>
              </a:solidFill>
              <a:ln w="9525">
                <a:solidFill>
                  <a:schemeClr val="accent3">
                    <a:shade val="76000"/>
                  </a:schemeClr>
                </a:solidFill>
              </a:ln>
              <a:effectLst/>
            </c:spPr>
          </c:marker>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cs-CZ"/>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Příjmy!$C$3:$E$3</c:f>
              <c:strCache>
                <c:ptCount val="3"/>
                <c:pt idx="0">
                  <c:v>2015</c:v>
                </c:pt>
                <c:pt idx="1">
                  <c:v>2016</c:v>
                </c:pt>
                <c:pt idx="2">
                  <c:v> 2017 </c:v>
                </c:pt>
              </c:strCache>
            </c:strRef>
          </c:cat>
          <c:val>
            <c:numRef>
              <c:f>Příjmy!$C$5:$E$5</c:f>
              <c:numCache>
                <c:formatCode>0</c:formatCode>
                <c:ptCount val="3"/>
                <c:pt idx="0">
                  <c:v>10877.77524396702</c:v>
                </c:pt>
                <c:pt idx="1">
                  <c:v>12363.314060526423</c:v>
                </c:pt>
                <c:pt idx="2">
                  <c:v>10610.059813343376</c:v>
                </c:pt>
              </c:numCache>
            </c:numRef>
          </c:val>
          <c:smooth val="0"/>
          <c:extLst>
            <c:ext xmlns:c16="http://schemas.microsoft.com/office/drawing/2014/chart" uri="{C3380CC4-5D6E-409C-BE32-E72D297353CC}">
              <c16:uniqueId val="{00000000-5DAC-42DA-A465-C4AA94CB3D8D}"/>
            </c:ext>
          </c:extLst>
        </c:ser>
        <c:ser>
          <c:idx val="1"/>
          <c:order val="1"/>
          <c:tx>
            <c:v>Malí zemědělci (IV. - VI. skupina dle SO)</c:v>
          </c:tx>
          <c:spPr>
            <a:ln w="28575" cap="rnd">
              <a:solidFill>
                <a:schemeClr val="accent3">
                  <a:tint val="77000"/>
                </a:schemeClr>
              </a:solidFill>
              <a:round/>
            </a:ln>
            <a:effectLst/>
          </c:spPr>
          <c:marker>
            <c:symbol val="circle"/>
            <c:size val="5"/>
            <c:spPr>
              <a:solidFill>
                <a:schemeClr val="accent3">
                  <a:tint val="77000"/>
                </a:schemeClr>
              </a:solidFill>
              <a:ln w="9525">
                <a:solidFill>
                  <a:schemeClr val="accent3">
                    <a:tint val="77000"/>
                  </a:schemeClr>
                </a:solidFill>
              </a:ln>
              <a:effectLst/>
            </c:spPr>
          </c:marker>
          <c:dLbls>
            <c:dLbl>
              <c:idx val="2"/>
              <c:layout>
                <c:manualLayout>
                  <c:x val="-5.2666666666666764E-2"/>
                  <c:y val="-4.54975940507436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DAC-42DA-A465-C4AA94CB3D8D}"/>
                </c:ext>
              </c:extLst>
            </c:dLbl>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cs-CZ"/>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Příjmy!$C$8:$E$8</c:f>
              <c:numCache>
                <c:formatCode>0</c:formatCode>
                <c:ptCount val="3"/>
                <c:pt idx="0">
                  <c:v>9339</c:v>
                </c:pt>
                <c:pt idx="1">
                  <c:v>8792</c:v>
                </c:pt>
                <c:pt idx="2">
                  <c:v>10973</c:v>
                </c:pt>
              </c:numCache>
            </c:numRef>
          </c:val>
          <c:smooth val="0"/>
          <c:extLst>
            <c:ext xmlns:c16="http://schemas.microsoft.com/office/drawing/2014/chart" uri="{C3380CC4-5D6E-409C-BE32-E72D297353CC}">
              <c16:uniqueId val="{00000002-5DAC-42DA-A465-C4AA94CB3D8D}"/>
            </c:ext>
          </c:extLst>
        </c:ser>
        <c:dLbls>
          <c:showLegendKey val="0"/>
          <c:showVal val="0"/>
          <c:showCatName val="0"/>
          <c:showSerName val="0"/>
          <c:showPercent val="0"/>
          <c:showBubbleSize val="0"/>
        </c:dLbls>
        <c:marker val="1"/>
        <c:smooth val="0"/>
        <c:axId val="472969616"/>
        <c:axId val="472965352"/>
      </c:lineChart>
      <c:catAx>
        <c:axId val="472969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cs-CZ"/>
          </a:p>
        </c:txPr>
        <c:crossAx val="472965352"/>
        <c:crosses val="autoZero"/>
        <c:auto val="1"/>
        <c:lblAlgn val="ctr"/>
        <c:lblOffset val="100"/>
        <c:noMultiLvlLbl val="0"/>
      </c:catAx>
      <c:valAx>
        <c:axId val="472965352"/>
        <c:scaling>
          <c:orientation val="minMax"/>
          <c:min val="8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cs-CZ"/>
          </a:p>
        </c:txPr>
        <c:crossAx val="472969616"/>
        <c:crosses val="autoZero"/>
        <c:crossBetween val="between"/>
      </c:valAx>
      <c:spPr>
        <a:noFill/>
        <a:ln>
          <a:noFill/>
        </a:ln>
        <a:effectLst/>
      </c:spPr>
    </c:plotArea>
    <c:legend>
      <c:legendPos val="r"/>
      <c:layout>
        <c:manualLayout>
          <c:xMode val="edge"/>
          <c:yMode val="edge"/>
          <c:x val="0.77540440668600641"/>
          <c:y val="0.19603798216322435"/>
          <c:w val="0.21143769857715153"/>
          <c:h val="0.5590578664577923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ndard"/>
        <c:varyColors val="0"/>
        <c:ser>
          <c:idx val="0"/>
          <c:order val="0"/>
          <c:tx>
            <c:strRef>
              <c:f>Porovnání!$D$6</c:f>
              <c:strCache>
                <c:ptCount val="1"/>
                <c:pt idx="0">
                  <c:v>Malá</c:v>
                </c:pt>
              </c:strCache>
            </c:strRef>
          </c:tx>
          <c:spPr>
            <a:ln w="28575" cap="rnd">
              <a:solidFill>
                <a:schemeClr val="accent3">
                  <a:shade val="58000"/>
                </a:schemeClr>
              </a:solidFill>
              <a:round/>
            </a:ln>
            <a:effectLst/>
          </c:spPr>
          <c:marker>
            <c:symbol val="circle"/>
            <c:size val="5"/>
            <c:spPr>
              <a:solidFill>
                <a:schemeClr val="accent3">
                  <a:shade val="58000"/>
                </a:schemeClr>
              </a:solidFill>
              <a:ln w="9525">
                <a:solidFill>
                  <a:schemeClr val="accent3">
                    <a:shade val="58000"/>
                  </a:schemeClr>
                </a:solidFill>
              </a:ln>
              <a:effectLst/>
            </c:spPr>
          </c:marker>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Porovnání!$N$7:$R$7</c:f>
              <c:numCache>
                <c:formatCode>General</c:formatCode>
                <c:ptCount val="5"/>
                <c:pt idx="0">
                  <c:v>2014</c:v>
                </c:pt>
                <c:pt idx="1">
                  <c:v>2015</c:v>
                </c:pt>
                <c:pt idx="2">
                  <c:v>2016</c:v>
                </c:pt>
                <c:pt idx="3">
                  <c:v>2017</c:v>
                </c:pt>
                <c:pt idx="4">
                  <c:v>2018</c:v>
                </c:pt>
              </c:numCache>
            </c:numRef>
          </c:cat>
          <c:val>
            <c:numRef>
              <c:f>Porovnání!$D$10:$H$10</c:f>
              <c:numCache>
                <c:formatCode>#,##0</c:formatCode>
                <c:ptCount val="5"/>
                <c:pt idx="0">
                  <c:v>10884.821401164452</c:v>
                </c:pt>
                <c:pt idx="1">
                  <c:v>9339.1133388163798</c:v>
                </c:pt>
                <c:pt idx="2">
                  <c:v>8792.1332313663315</c:v>
                </c:pt>
                <c:pt idx="3">
                  <c:v>10973</c:v>
                </c:pt>
                <c:pt idx="4">
                  <c:v>10891</c:v>
                </c:pt>
              </c:numCache>
            </c:numRef>
          </c:val>
          <c:smooth val="0"/>
          <c:extLst>
            <c:ext xmlns:c16="http://schemas.microsoft.com/office/drawing/2014/chart" uri="{C3380CC4-5D6E-409C-BE32-E72D297353CC}">
              <c16:uniqueId val="{00000000-255A-4F08-AE52-1AEF08BE1055}"/>
            </c:ext>
          </c:extLst>
        </c:ser>
        <c:ser>
          <c:idx val="1"/>
          <c:order val="1"/>
          <c:tx>
            <c:strRef>
              <c:f>Porovnání!$I$6</c:f>
              <c:strCache>
                <c:ptCount val="1"/>
                <c:pt idx="0">
                  <c:v>Střední</c:v>
                </c:pt>
              </c:strCache>
            </c:strRef>
          </c:tx>
          <c:spPr>
            <a:ln w="28575" cap="rnd">
              <a:solidFill>
                <a:schemeClr val="accent3">
                  <a:shade val="86000"/>
                </a:schemeClr>
              </a:solidFill>
              <a:round/>
            </a:ln>
            <a:effectLst/>
          </c:spPr>
          <c:marker>
            <c:symbol val="circle"/>
            <c:size val="5"/>
            <c:spPr>
              <a:solidFill>
                <a:schemeClr val="accent3">
                  <a:shade val="86000"/>
                </a:schemeClr>
              </a:solidFill>
              <a:ln w="9525">
                <a:solidFill>
                  <a:schemeClr val="accent3">
                    <a:shade val="86000"/>
                  </a:schemeClr>
                </a:solidFill>
              </a:ln>
              <a:effectLst/>
            </c:spPr>
          </c:marker>
          <c:cat>
            <c:numRef>
              <c:f>Porovnání!$N$7:$R$7</c:f>
              <c:numCache>
                <c:formatCode>General</c:formatCode>
                <c:ptCount val="5"/>
                <c:pt idx="0">
                  <c:v>2014</c:v>
                </c:pt>
                <c:pt idx="1">
                  <c:v>2015</c:v>
                </c:pt>
                <c:pt idx="2">
                  <c:v>2016</c:v>
                </c:pt>
                <c:pt idx="3">
                  <c:v>2017</c:v>
                </c:pt>
                <c:pt idx="4">
                  <c:v>2018</c:v>
                </c:pt>
              </c:numCache>
            </c:numRef>
          </c:cat>
          <c:val>
            <c:numRef>
              <c:f>Porovnání!$I$10:$M$10</c:f>
              <c:numCache>
                <c:formatCode>#,##0</c:formatCode>
                <c:ptCount val="5"/>
                <c:pt idx="0">
                  <c:v>12344.806582867461</c:v>
                </c:pt>
                <c:pt idx="1">
                  <c:v>10369.642733024344</c:v>
                </c:pt>
                <c:pt idx="2">
                  <c:v>9355.1535391614761</c:v>
                </c:pt>
                <c:pt idx="3">
                  <c:v>8851</c:v>
                </c:pt>
                <c:pt idx="4">
                  <c:v>10989</c:v>
                </c:pt>
              </c:numCache>
            </c:numRef>
          </c:val>
          <c:smooth val="0"/>
          <c:extLst>
            <c:ext xmlns:c16="http://schemas.microsoft.com/office/drawing/2014/chart" uri="{C3380CC4-5D6E-409C-BE32-E72D297353CC}">
              <c16:uniqueId val="{00000001-255A-4F08-AE52-1AEF08BE1055}"/>
            </c:ext>
          </c:extLst>
        </c:ser>
        <c:ser>
          <c:idx val="2"/>
          <c:order val="2"/>
          <c:tx>
            <c:strRef>
              <c:f>Porovnání!$N$6</c:f>
              <c:strCache>
                <c:ptCount val="1"/>
                <c:pt idx="0">
                  <c:v>Velká</c:v>
                </c:pt>
              </c:strCache>
            </c:strRef>
          </c:tx>
          <c:spPr>
            <a:ln w="28575" cap="rnd">
              <a:solidFill>
                <a:schemeClr val="accent3">
                  <a:tint val="86000"/>
                </a:schemeClr>
              </a:solidFill>
              <a:round/>
            </a:ln>
            <a:effectLst/>
          </c:spPr>
          <c:marker>
            <c:symbol val="circle"/>
            <c:size val="5"/>
            <c:spPr>
              <a:solidFill>
                <a:schemeClr val="accent3">
                  <a:tint val="86000"/>
                </a:schemeClr>
              </a:solidFill>
              <a:ln w="9525">
                <a:solidFill>
                  <a:schemeClr val="accent3">
                    <a:tint val="86000"/>
                  </a:schemeClr>
                </a:solidFill>
              </a:ln>
              <a:effectLst/>
            </c:spPr>
          </c:marker>
          <c:cat>
            <c:numRef>
              <c:f>Porovnání!$N$7:$R$7</c:f>
              <c:numCache>
                <c:formatCode>General</c:formatCode>
                <c:ptCount val="5"/>
                <c:pt idx="0">
                  <c:v>2014</c:v>
                </c:pt>
                <c:pt idx="1">
                  <c:v>2015</c:v>
                </c:pt>
                <c:pt idx="2">
                  <c:v>2016</c:v>
                </c:pt>
                <c:pt idx="3">
                  <c:v>2017</c:v>
                </c:pt>
                <c:pt idx="4">
                  <c:v>2018</c:v>
                </c:pt>
              </c:numCache>
            </c:numRef>
          </c:cat>
          <c:val>
            <c:numRef>
              <c:f>Porovnání!$N$10:$R$10</c:f>
              <c:numCache>
                <c:formatCode>#,##0</c:formatCode>
                <c:ptCount val="5"/>
                <c:pt idx="0">
                  <c:v>15101.549107777555</c:v>
                </c:pt>
                <c:pt idx="1">
                  <c:v>12895.223679050152</c:v>
                </c:pt>
                <c:pt idx="2">
                  <c:v>11366.002149680695</c:v>
                </c:pt>
                <c:pt idx="3">
                  <c:v>11364</c:v>
                </c:pt>
                <c:pt idx="4">
                  <c:v>14628</c:v>
                </c:pt>
              </c:numCache>
            </c:numRef>
          </c:val>
          <c:smooth val="0"/>
          <c:extLst>
            <c:ext xmlns:c16="http://schemas.microsoft.com/office/drawing/2014/chart" uri="{C3380CC4-5D6E-409C-BE32-E72D297353CC}">
              <c16:uniqueId val="{00000002-255A-4F08-AE52-1AEF08BE1055}"/>
            </c:ext>
          </c:extLst>
        </c:ser>
        <c:ser>
          <c:idx val="3"/>
          <c:order val="3"/>
          <c:tx>
            <c:strRef>
              <c:f>Porovnání!$S$6</c:f>
              <c:strCache>
                <c:ptCount val="1"/>
                <c:pt idx="0">
                  <c:v>Největší</c:v>
                </c:pt>
              </c:strCache>
            </c:strRef>
          </c:tx>
          <c:spPr>
            <a:ln w="28575" cap="rnd">
              <a:solidFill>
                <a:schemeClr val="accent3">
                  <a:tint val="58000"/>
                </a:schemeClr>
              </a:solidFill>
              <a:round/>
            </a:ln>
            <a:effectLst/>
          </c:spPr>
          <c:marker>
            <c:symbol val="circle"/>
            <c:size val="5"/>
            <c:spPr>
              <a:solidFill>
                <a:schemeClr val="accent3">
                  <a:tint val="58000"/>
                </a:schemeClr>
              </a:solidFill>
              <a:ln w="9525">
                <a:solidFill>
                  <a:schemeClr val="accent3">
                    <a:tint val="58000"/>
                  </a:schemeClr>
                </a:solidFill>
              </a:ln>
              <a:effectLst/>
            </c:spPr>
          </c:marker>
          <c:cat>
            <c:numRef>
              <c:f>Porovnání!$N$7:$R$7</c:f>
              <c:numCache>
                <c:formatCode>General</c:formatCode>
                <c:ptCount val="5"/>
                <c:pt idx="0">
                  <c:v>2014</c:v>
                </c:pt>
                <c:pt idx="1">
                  <c:v>2015</c:v>
                </c:pt>
                <c:pt idx="2">
                  <c:v>2016</c:v>
                </c:pt>
                <c:pt idx="3">
                  <c:v>2017</c:v>
                </c:pt>
                <c:pt idx="4">
                  <c:v>2018</c:v>
                </c:pt>
              </c:numCache>
            </c:numRef>
          </c:cat>
          <c:val>
            <c:numRef>
              <c:f>Porovnání!$S$10:$W$10</c:f>
              <c:numCache>
                <c:formatCode>General</c:formatCode>
                <c:ptCount val="5"/>
                <c:pt idx="0" formatCode="#,##0">
                  <c:v>14244.560335371016</c:v>
                </c:pt>
              </c:numCache>
            </c:numRef>
          </c:val>
          <c:smooth val="0"/>
          <c:extLst>
            <c:ext xmlns:c16="http://schemas.microsoft.com/office/drawing/2014/chart" uri="{C3380CC4-5D6E-409C-BE32-E72D297353CC}">
              <c16:uniqueId val="{00000003-255A-4F08-AE52-1AEF08BE1055}"/>
            </c:ext>
          </c:extLst>
        </c:ser>
        <c:dLbls>
          <c:showLegendKey val="0"/>
          <c:showVal val="0"/>
          <c:showCatName val="0"/>
          <c:showSerName val="0"/>
          <c:showPercent val="0"/>
          <c:showBubbleSize val="0"/>
        </c:dLbls>
        <c:marker val="1"/>
        <c:smooth val="0"/>
        <c:axId val="564582512"/>
        <c:axId val="564581528"/>
      </c:lineChart>
      <c:catAx>
        <c:axId val="564582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crossAx val="564581528"/>
        <c:crosses val="autoZero"/>
        <c:auto val="1"/>
        <c:lblAlgn val="ctr"/>
        <c:lblOffset val="100"/>
        <c:noMultiLvlLbl val="0"/>
      </c:catAx>
      <c:valAx>
        <c:axId val="564581528"/>
        <c:scaling>
          <c:orientation val="minMax"/>
          <c:min val="80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crossAx val="564582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cs-C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ndard"/>
        <c:varyColors val="0"/>
        <c:ser>
          <c:idx val="0"/>
          <c:order val="0"/>
          <c:tx>
            <c:strRef>
              <c:f>Porovnání!$D$6</c:f>
              <c:strCache>
                <c:ptCount val="1"/>
                <c:pt idx="0">
                  <c:v>Malá</c:v>
                </c:pt>
              </c:strCache>
            </c:strRef>
          </c:tx>
          <c:spPr>
            <a:ln w="28575" cap="rnd">
              <a:solidFill>
                <a:schemeClr val="accent3">
                  <a:shade val="58000"/>
                </a:schemeClr>
              </a:solidFill>
              <a:round/>
            </a:ln>
            <a:effectLst/>
          </c:spPr>
          <c:marker>
            <c:symbol val="circle"/>
            <c:size val="5"/>
            <c:spPr>
              <a:solidFill>
                <a:schemeClr val="accent3">
                  <a:shade val="58000"/>
                </a:schemeClr>
              </a:solidFill>
              <a:ln w="9525">
                <a:solidFill>
                  <a:schemeClr val="accent3">
                    <a:shade val="58000"/>
                  </a:schemeClr>
                </a:solidFill>
              </a:ln>
              <a:effectLst/>
            </c:spPr>
          </c:marker>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Porovnání!$N$7:$R$7</c:f>
              <c:numCache>
                <c:formatCode>General</c:formatCode>
                <c:ptCount val="5"/>
                <c:pt idx="0">
                  <c:v>2014</c:v>
                </c:pt>
                <c:pt idx="1">
                  <c:v>2015</c:v>
                </c:pt>
                <c:pt idx="2">
                  <c:v>2016</c:v>
                </c:pt>
                <c:pt idx="3">
                  <c:v>2017</c:v>
                </c:pt>
                <c:pt idx="4">
                  <c:v>2018</c:v>
                </c:pt>
              </c:numCache>
            </c:numRef>
          </c:cat>
          <c:val>
            <c:numRef>
              <c:f>Porovnání!$D$12:$H$12</c:f>
              <c:numCache>
                <c:formatCode>#,##0</c:formatCode>
                <c:ptCount val="5"/>
                <c:pt idx="0">
                  <c:v>239545.85273156696</c:v>
                </c:pt>
                <c:pt idx="1">
                  <c:v>218515.81910417695</c:v>
                </c:pt>
                <c:pt idx="2">
                  <c:v>203007.85088870482</c:v>
                </c:pt>
                <c:pt idx="3">
                  <c:v>240441</c:v>
                </c:pt>
                <c:pt idx="4">
                  <c:v>232894</c:v>
                </c:pt>
              </c:numCache>
            </c:numRef>
          </c:val>
          <c:smooth val="0"/>
          <c:extLst>
            <c:ext xmlns:c16="http://schemas.microsoft.com/office/drawing/2014/chart" uri="{C3380CC4-5D6E-409C-BE32-E72D297353CC}">
              <c16:uniqueId val="{00000000-A395-47BE-8DF8-315087BF5D80}"/>
            </c:ext>
          </c:extLst>
        </c:ser>
        <c:ser>
          <c:idx val="1"/>
          <c:order val="1"/>
          <c:tx>
            <c:strRef>
              <c:f>Porovnání!$I$6</c:f>
              <c:strCache>
                <c:ptCount val="1"/>
                <c:pt idx="0">
                  <c:v>Střední</c:v>
                </c:pt>
              </c:strCache>
            </c:strRef>
          </c:tx>
          <c:spPr>
            <a:ln w="28575" cap="rnd">
              <a:solidFill>
                <a:schemeClr val="accent3">
                  <a:shade val="86000"/>
                </a:schemeClr>
              </a:solidFill>
              <a:round/>
            </a:ln>
            <a:effectLst/>
          </c:spPr>
          <c:marker>
            <c:symbol val="circle"/>
            <c:size val="5"/>
            <c:spPr>
              <a:solidFill>
                <a:schemeClr val="accent3">
                  <a:shade val="86000"/>
                </a:schemeClr>
              </a:solidFill>
              <a:ln w="9525">
                <a:solidFill>
                  <a:schemeClr val="accent3">
                    <a:shade val="86000"/>
                  </a:schemeClr>
                </a:solidFill>
              </a:ln>
              <a:effectLst/>
            </c:spPr>
          </c:marker>
          <c:cat>
            <c:numRef>
              <c:f>Porovnání!$N$7:$R$7</c:f>
              <c:numCache>
                <c:formatCode>General</c:formatCode>
                <c:ptCount val="5"/>
                <c:pt idx="0">
                  <c:v>2014</c:v>
                </c:pt>
                <c:pt idx="1">
                  <c:v>2015</c:v>
                </c:pt>
                <c:pt idx="2">
                  <c:v>2016</c:v>
                </c:pt>
                <c:pt idx="3">
                  <c:v>2017</c:v>
                </c:pt>
                <c:pt idx="4">
                  <c:v>2018</c:v>
                </c:pt>
              </c:numCache>
            </c:numRef>
          </c:cat>
          <c:val>
            <c:numRef>
              <c:f>Porovnání!$I$12:$M$12</c:f>
              <c:numCache>
                <c:formatCode>#,##0</c:formatCode>
                <c:ptCount val="5"/>
                <c:pt idx="0">
                  <c:v>873674.52485720336</c:v>
                </c:pt>
                <c:pt idx="1">
                  <c:v>682839.29453710106</c:v>
                </c:pt>
                <c:pt idx="2">
                  <c:v>616991.2627096409</c:v>
                </c:pt>
                <c:pt idx="3">
                  <c:v>521642</c:v>
                </c:pt>
                <c:pt idx="4">
                  <c:v>674157</c:v>
                </c:pt>
              </c:numCache>
            </c:numRef>
          </c:val>
          <c:smooth val="0"/>
          <c:extLst>
            <c:ext xmlns:c16="http://schemas.microsoft.com/office/drawing/2014/chart" uri="{C3380CC4-5D6E-409C-BE32-E72D297353CC}">
              <c16:uniqueId val="{00000001-A395-47BE-8DF8-315087BF5D80}"/>
            </c:ext>
          </c:extLst>
        </c:ser>
        <c:ser>
          <c:idx val="2"/>
          <c:order val="2"/>
          <c:tx>
            <c:strRef>
              <c:f>Porovnání!$N$6</c:f>
              <c:strCache>
                <c:ptCount val="1"/>
                <c:pt idx="0">
                  <c:v>Velká</c:v>
                </c:pt>
              </c:strCache>
            </c:strRef>
          </c:tx>
          <c:spPr>
            <a:ln w="28575" cap="rnd">
              <a:solidFill>
                <a:schemeClr val="accent3">
                  <a:tint val="86000"/>
                </a:schemeClr>
              </a:solidFill>
              <a:round/>
            </a:ln>
            <a:effectLst/>
          </c:spPr>
          <c:marker>
            <c:symbol val="circle"/>
            <c:size val="5"/>
            <c:spPr>
              <a:solidFill>
                <a:schemeClr val="accent3">
                  <a:tint val="86000"/>
                </a:schemeClr>
              </a:solidFill>
              <a:ln w="9525">
                <a:solidFill>
                  <a:schemeClr val="accent3">
                    <a:tint val="86000"/>
                  </a:schemeClr>
                </a:solidFill>
              </a:ln>
              <a:effectLst/>
            </c:spPr>
          </c:marker>
          <c:cat>
            <c:numRef>
              <c:f>Porovnání!$N$7:$R$7</c:f>
              <c:numCache>
                <c:formatCode>General</c:formatCode>
                <c:ptCount val="5"/>
                <c:pt idx="0">
                  <c:v>2014</c:v>
                </c:pt>
                <c:pt idx="1">
                  <c:v>2015</c:v>
                </c:pt>
                <c:pt idx="2">
                  <c:v>2016</c:v>
                </c:pt>
                <c:pt idx="3">
                  <c:v>2017</c:v>
                </c:pt>
                <c:pt idx="4">
                  <c:v>2018</c:v>
                </c:pt>
              </c:numCache>
            </c:numRef>
          </c:cat>
          <c:val>
            <c:numRef>
              <c:f>Porovnání!$N$12:$R$12</c:f>
              <c:numCache>
                <c:formatCode>#,##0</c:formatCode>
                <c:ptCount val="5"/>
                <c:pt idx="0">
                  <c:v>3569364.8813828258</c:v>
                </c:pt>
                <c:pt idx="1">
                  <c:v>3125020.9035073835</c:v>
                </c:pt>
                <c:pt idx="2">
                  <c:v>3001399.0522097494</c:v>
                </c:pt>
                <c:pt idx="3">
                  <c:v>2151828</c:v>
                </c:pt>
                <c:pt idx="4">
                  <c:v>2550416</c:v>
                </c:pt>
              </c:numCache>
            </c:numRef>
          </c:val>
          <c:smooth val="0"/>
          <c:extLst>
            <c:ext xmlns:c16="http://schemas.microsoft.com/office/drawing/2014/chart" uri="{C3380CC4-5D6E-409C-BE32-E72D297353CC}">
              <c16:uniqueId val="{00000002-A395-47BE-8DF8-315087BF5D80}"/>
            </c:ext>
          </c:extLst>
        </c:ser>
        <c:ser>
          <c:idx val="3"/>
          <c:order val="3"/>
          <c:tx>
            <c:strRef>
              <c:f>Porovnání!$S$6</c:f>
              <c:strCache>
                <c:ptCount val="1"/>
                <c:pt idx="0">
                  <c:v>Největší</c:v>
                </c:pt>
              </c:strCache>
            </c:strRef>
          </c:tx>
          <c:spPr>
            <a:ln w="28575" cap="rnd">
              <a:solidFill>
                <a:schemeClr val="accent3">
                  <a:tint val="58000"/>
                </a:schemeClr>
              </a:solidFill>
              <a:round/>
            </a:ln>
            <a:effectLst/>
          </c:spPr>
          <c:marker>
            <c:symbol val="circle"/>
            <c:size val="5"/>
            <c:spPr>
              <a:solidFill>
                <a:schemeClr val="accent3">
                  <a:tint val="58000"/>
                </a:schemeClr>
              </a:solidFill>
              <a:ln w="9525">
                <a:solidFill>
                  <a:schemeClr val="accent3">
                    <a:tint val="58000"/>
                  </a:schemeClr>
                </a:solidFill>
              </a:ln>
              <a:effectLst/>
            </c:spPr>
          </c:marker>
          <c:cat>
            <c:numRef>
              <c:f>Porovnání!$N$7:$R$7</c:f>
              <c:numCache>
                <c:formatCode>General</c:formatCode>
                <c:ptCount val="5"/>
                <c:pt idx="0">
                  <c:v>2014</c:v>
                </c:pt>
                <c:pt idx="1">
                  <c:v>2015</c:v>
                </c:pt>
                <c:pt idx="2">
                  <c:v>2016</c:v>
                </c:pt>
                <c:pt idx="3">
                  <c:v>2017</c:v>
                </c:pt>
                <c:pt idx="4">
                  <c:v>2018</c:v>
                </c:pt>
              </c:numCache>
            </c:numRef>
          </c:cat>
          <c:val>
            <c:numRef>
              <c:f>Porovnání!$S$12:$W$12</c:f>
              <c:numCache>
                <c:formatCode>General</c:formatCode>
                <c:ptCount val="5"/>
                <c:pt idx="0" formatCode="#,##0">
                  <c:v>3878829.6374546494</c:v>
                </c:pt>
              </c:numCache>
            </c:numRef>
          </c:val>
          <c:smooth val="0"/>
          <c:extLst>
            <c:ext xmlns:c16="http://schemas.microsoft.com/office/drawing/2014/chart" uri="{C3380CC4-5D6E-409C-BE32-E72D297353CC}">
              <c16:uniqueId val="{00000003-A395-47BE-8DF8-315087BF5D80}"/>
            </c:ext>
          </c:extLst>
        </c:ser>
        <c:dLbls>
          <c:showLegendKey val="0"/>
          <c:showVal val="0"/>
          <c:showCatName val="0"/>
          <c:showSerName val="0"/>
          <c:showPercent val="0"/>
          <c:showBubbleSize val="0"/>
        </c:dLbls>
        <c:marker val="1"/>
        <c:smooth val="0"/>
        <c:axId val="564582512"/>
        <c:axId val="564581528"/>
      </c:lineChart>
      <c:catAx>
        <c:axId val="564582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crossAx val="564581528"/>
        <c:crosses val="autoZero"/>
        <c:auto val="1"/>
        <c:lblAlgn val="ctr"/>
        <c:lblOffset val="100"/>
        <c:noMultiLvlLbl val="0"/>
      </c:catAx>
      <c:valAx>
        <c:axId val="564581528"/>
        <c:scaling>
          <c:orientation val="minMax"/>
          <c:max val="40000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crossAx val="564582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cs-CZ"/>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8.8521747281589791E-2"/>
          <c:y val="7.8832583850269283E-2"/>
          <c:w val="0.89118786532051597"/>
          <c:h val="0.80394525026512087"/>
        </c:manualLayout>
      </c:layout>
      <c:lineChart>
        <c:grouping val="standard"/>
        <c:varyColors val="0"/>
        <c:ser>
          <c:idx val="7"/>
          <c:order val="0"/>
          <c:tx>
            <c:strRef>
              <c:f>Důchod!$AM$1</c:f>
              <c:strCache>
                <c:ptCount val="1"/>
                <c:pt idx="0">
                  <c:v>FO CELKEM</c:v>
                </c:pt>
              </c:strCache>
            </c:strRef>
          </c:tx>
          <c:spPr>
            <a:ln w="28575" cap="rnd">
              <a:solidFill>
                <a:schemeClr val="accent3">
                  <a:lumMod val="50000"/>
                </a:schemeClr>
              </a:solidFill>
              <a:prstDash val="sysDash"/>
              <a:round/>
            </a:ln>
            <a:effectLst/>
          </c:spPr>
          <c:marker>
            <c:symbol val="circle"/>
            <c:size val="5"/>
            <c:spPr>
              <a:solidFill>
                <a:schemeClr val="accent3">
                  <a:tint val="46000"/>
                </a:schemeClr>
              </a:solidFill>
              <a:ln w="9525">
                <a:solidFill>
                  <a:schemeClr val="accent3">
                    <a:tint val="46000"/>
                  </a:schemeClr>
                </a:solidFill>
              </a:ln>
              <a:effectLst/>
            </c:spPr>
          </c:marker>
          <c:dLbls>
            <c:dLbl>
              <c:idx val="0"/>
              <c:layout>
                <c:manualLayout>
                  <c:x val="-0.13007054673721341"/>
                  <c:y val="-1.6930022573363433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0-5C13-40C2-891D-339F38260261}"/>
                </c:ext>
              </c:extLst>
            </c:dLbl>
            <c:dLbl>
              <c:idx val="1"/>
              <c:delete val="1"/>
              <c:extLst>
                <c:ext xmlns:c15="http://schemas.microsoft.com/office/drawing/2012/chart" uri="{CE6537A1-D6FC-4f65-9D91-7224C49458BB}"/>
                <c:ext xmlns:c16="http://schemas.microsoft.com/office/drawing/2014/chart" uri="{C3380CC4-5D6E-409C-BE32-E72D297353CC}">
                  <c16:uniqueId val="{00000001-5C13-40C2-891D-339F38260261}"/>
                </c:ext>
              </c:extLst>
            </c:dLbl>
            <c:dLbl>
              <c:idx val="2"/>
              <c:delete val="1"/>
              <c:extLst>
                <c:ext xmlns:c15="http://schemas.microsoft.com/office/drawing/2012/chart" uri="{CE6537A1-D6FC-4f65-9D91-7224C49458BB}"/>
                <c:ext xmlns:c16="http://schemas.microsoft.com/office/drawing/2014/chart" uri="{C3380CC4-5D6E-409C-BE32-E72D297353CC}">
                  <c16:uniqueId val="{00000002-5C13-40C2-891D-339F382602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Důchod!$AM$5:$AP$5</c:f>
              <c:numCache>
                <c:formatCode>0.00</c:formatCode>
                <c:ptCount val="4"/>
                <c:pt idx="0">
                  <c:v>294986.92216228187</c:v>
                </c:pt>
                <c:pt idx="1">
                  <c:v>275554.78396736912</c:v>
                </c:pt>
                <c:pt idx="2">
                  <c:v>314010.32350973028</c:v>
                </c:pt>
                <c:pt idx="3">
                  <c:v>295282.94848230807</c:v>
                </c:pt>
              </c:numCache>
            </c:numRef>
          </c:val>
          <c:smooth val="0"/>
          <c:extLst>
            <c:ext xmlns:c16="http://schemas.microsoft.com/office/drawing/2014/chart" uri="{C3380CC4-5D6E-409C-BE32-E72D297353CC}">
              <c16:uniqueId val="{00000003-5C13-40C2-891D-339F38260261}"/>
            </c:ext>
          </c:extLst>
        </c:ser>
        <c:ser>
          <c:idx val="0"/>
          <c:order val="1"/>
          <c:tx>
            <c:strRef>
              <c:f>Důchod!$C$1</c:f>
              <c:strCache>
                <c:ptCount val="1"/>
                <c:pt idx="0">
                  <c:v>Polní výroba</c:v>
                </c:pt>
              </c:strCache>
            </c:strRef>
          </c:tx>
          <c:spPr>
            <a:ln w="28575" cap="rnd">
              <a:solidFill>
                <a:schemeClr val="accent3">
                  <a:shade val="45000"/>
                </a:schemeClr>
              </a:solidFill>
              <a:round/>
            </a:ln>
            <a:effectLst/>
          </c:spPr>
          <c:marker>
            <c:symbol val="circle"/>
            <c:size val="5"/>
            <c:spPr>
              <a:solidFill>
                <a:schemeClr val="accent3">
                  <a:shade val="45000"/>
                </a:schemeClr>
              </a:solidFill>
              <a:ln w="9525">
                <a:solidFill>
                  <a:schemeClr val="accent3">
                    <a:shade val="45000"/>
                  </a:schemeClr>
                </a:solidFill>
              </a:ln>
              <a:effectLst/>
            </c:spPr>
          </c:marker>
          <c:cat>
            <c:strRef>
              <c:f>Důchod!$N$2:$Q$2</c:f>
              <c:strCache>
                <c:ptCount val="4"/>
                <c:pt idx="0">
                  <c:v>2015</c:v>
                </c:pt>
                <c:pt idx="1">
                  <c:v>2016</c:v>
                </c:pt>
                <c:pt idx="2">
                  <c:v>2017</c:v>
                </c:pt>
                <c:pt idx="3">
                  <c:v>2018</c:v>
                </c:pt>
              </c:strCache>
            </c:strRef>
          </c:cat>
          <c:val>
            <c:numRef>
              <c:f>Důchod!$C$5:$F$5</c:f>
              <c:numCache>
                <c:formatCode>0.00</c:formatCode>
                <c:ptCount val="4"/>
                <c:pt idx="0">
                  <c:v>155514.87975728267</c:v>
                </c:pt>
                <c:pt idx="1">
                  <c:v>180858.84260608436</c:v>
                </c:pt>
                <c:pt idx="2">
                  <c:v>192581.58327727584</c:v>
                </c:pt>
                <c:pt idx="3">
                  <c:v>189120.60300146227</c:v>
                </c:pt>
              </c:numCache>
            </c:numRef>
          </c:val>
          <c:smooth val="0"/>
          <c:extLst>
            <c:ext xmlns:c16="http://schemas.microsoft.com/office/drawing/2014/chart" uri="{C3380CC4-5D6E-409C-BE32-E72D297353CC}">
              <c16:uniqueId val="{00000004-5C13-40C2-891D-339F38260261}"/>
            </c:ext>
          </c:extLst>
        </c:ser>
        <c:ser>
          <c:idx val="2"/>
          <c:order val="2"/>
          <c:tx>
            <c:strRef>
              <c:f>Důchod!$N$1</c:f>
              <c:strCache>
                <c:ptCount val="1"/>
                <c:pt idx="0">
                  <c:v>Ovocnářství</c:v>
                </c:pt>
              </c:strCache>
            </c:strRef>
          </c:tx>
          <c:spPr>
            <a:ln w="28575" cap="rnd">
              <a:solidFill>
                <a:schemeClr val="accent3">
                  <a:shade val="76000"/>
                </a:schemeClr>
              </a:solidFill>
              <a:round/>
            </a:ln>
            <a:effectLst/>
          </c:spPr>
          <c:marker>
            <c:symbol val="circle"/>
            <c:size val="5"/>
            <c:spPr>
              <a:solidFill>
                <a:schemeClr val="accent3">
                  <a:shade val="76000"/>
                </a:schemeClr>
              </a:solidFill>
              <a:ln w="9525">
                <a:solidFill>
                  <a:schemeClr val="accent3">
                    <a:shade val="76000"/>
                  </a:schemeClr>
                </a:solidFill>
              </a:ln>
              <a:effectLst/>
            </c:spPr>
          </c:marker>
          <c:dLbls>
            <c:dLbl>
              <c:idx val="0"/>
              <c:layout>
                <c:manualLayout>
                  <c:x val="-0.12345679012345678"/>
                  <c:y val="-5.6433408577878104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5-5C13-40C2-891D-339F38260261}"/>
                </c:ext>
              </c:extLst>
            </c:dLbl>
            <c:dLbl>
              <c:idx val="1"/>
              <c:delete val="1"/>
              <c:extLst>
                <c:ext xmlns:c15="http://schemas.microsoft.com/office/drawing/2012/chart" uri="{CE6537A1-D6FC-4f65-9D91-7224C49458BB}"/>
                <c:ext xmlns:c16="http://schemas.microsoft.com/office/drawing/2014/chart" uri="{C3380CC4-5D6E-409C-BE32-E72D297353CC}">
                  <c16:uniqueId val="{00000006-5C13-40C2-891D-339F38260261}"/>
                </c:ext>
              </c:extLst>
            </c:dLbl>
            <c:dLbl>
              <c:idx val="2"/>
              <c:delete val="1"/>
              <c:extLst>
                <c:ext xmlns:c15="http://schemas.microsoft.com/office/drawing/2012/chart" uri="{CE6537A1-D6FC-4f65-9D91-7224C49458BB}"/>
                <c:ext xmlns:c16="http://schemas.microsoft.com/office/drawing/2014/chart" uri="{C3380CC4-5D6E-409C-BE32-E72D297353CC}">
                  <c16:uniqueId val="{00000007-5C13-40C2-891D-339F38260261}"/>
                </c:ext>
              </c:extLst>
            </c:dLbl>
            <c:dLbl>
              <c:idx val="3"/>
              <c:layout>
                <c:manualLayout>
                  <c:x val="-4.4091710758377423E-3"/>
                  <c:y val="6.7720090293453619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8-5C13-40C2-891D-339F382602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Důchod!$N$5:$Q$5</c:f>
              <c:numCache>
                <c:formatCode>0.00</c:formatCode>
                <c:ptCount val="4"/>
                <c:pt idx="0">
                  <c:v>232514.84412013035</c:v>
                </c:pt>
                <c:pt idx="1">
                  <c:v>227110.76294729605</c:v>
                </c:pt>
                <c:pt idx="2">
                  <c:v>199484.19162154838</c:v>
                </c:pt>
                <c:pt idx="3">
                  <c:v>265340.32099996979</c:v>
                </c:pt>
              </c:numCache>
            </c:numRef>
          </c:val>
          <c:smooth val="0"/>
          <c:extLst>
            <c:ext xmlns:c16="http://schemas.microsoft.com/office/drawing/2014/chart" uri="{C3380CC4-5D6E-409C-BE32-E72D297353CC}">
              <c16:uniqueId val="{00000009-5C13-40C2-891D-339F38260261}"/>
            </c:ext>
          </c:extLst>
        </c:ser>
        <c:ser>
          <c:idx val="3"/>
          <c:order val="3"/>
          <c:tx>
            <c:strRef>
              <c:f>Důchod!$S$1</c:f>
              <c:strCache>
                <c:ptCount val="1"/>
                <c:pt idx="0">
                  <c:v>Produkce mléka</c:v>
                </c:pt>
              </c:strCache>
            </c:strRef>
          </c:tx>
          <c:spPr>
            <a:ln w="28575" cap="rnd">
              <a:solidFill>
                <a:schemeClr val="accent3">
                  <a:shade val="92000"/>
                </a:schemeClr>
              </a:solidFill>
              <a:round/>
            </a:ln>
            <a:effectLst/>
          </c:spPr>
          <c:marker>
            <c:symbol val="circle"/>
            <c:size val="5"/>
            <c:spPr>
              <a:solidFill>
                <a:schemeClr val="accent3">
                  <a:shade val="92000"/>
                </a:schemeClr>
              </a:solidFill>
              <a:ln w="9525">
                <a:solidFill>
                  <a:schemeClr val="accent3">
                    <a:shade val="92000"/>
                  </a:schemeClr>
                </a:solidFill>
              </a:ln>
              <a:effectLst/>
            </c:spPr>
          </c:marker>
          <c:dLbls>
            <c:dLbl>
              <c:idx val="0"/>
              <c:layout>
                <c:manualLayout>
                  <c:x val="-0.13668430335097001"/>
                  <c:y val="-5.6433408577878106E-3"/>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A-5C13-40C2-891D-339F38260261}"/>
                </c:ext>
              </c:extLst>
            </c:dLbl>
            <c:dLbl>
              <c:idx val="1"/>
              <c:delete val="1"/>
              <c:extLst>
                <c:ext xmlns:c15="http://schemas.microsoft.com/office/drawing/2012/chart" uri="{CE6537A1-D6FC-4f65-9D91-7224C49458BB}"/>
                <c:ext xmlns:c16="http://schemas.microsoft.com/office/drawing/2014/chart" uri="{C3380CC4-5D6E-409C-BE32-E72D297353CC}">
                  <c16:uniqueId val="{0000000B-5C13-40C2-891D-339F382602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Důchod!$S$5:$U$5</c:f>
              <c:numCache>
                <c:formatCode>0.00</c:formatCode>
                <c:ptCount val="3"/>
                <c:pt idx="0">
                  <c:v>489587.74999999994</c:v>
                </c:pt>
                <c:pt idx="1">
                  <c:v>235373.60000000003</c:v>
                </c:pt>
                <c:pt idx="2">
                  <c:v>262798.25</c:v>
                </c:pt>
              </c:numCache>
            </c:numRef>
          </c:val>
          <c:smooth val="0"/>
          <c:extLst>
            <c:ext xmlns:c16="http://schemas.microsoft.com/office/drawing/2014/chart" uri="{C3380CC4-5D6E-409C-BE32-E72D297353CC}">
              <c16:uniqueId val="{0000000C-5C13-40C2-891D-339F38260261}"/>
            </c:ext>
          </c:extLst>
        </c:ser>
        <c:ser>
          <c:idx val="4"/>
          <c:order val="4"/>
          <c:tx>
            <c:strRef>
              <c:f>Důchod!$X$1</c:f>
              <c:strCache>
                <c:ptCount val="1"/>
                <c:pt idx="0">
                  <c:v>Chov skotu</c:v>
                </c:pt>
              </c:strCache>
            </c:strRef>
          </c:tx>
          <c:spPr>
            <a:ln w="28575" cap="rnd">
              <a:solidFill>
                <a:schemeClr val="accent3">
                  <a:tint val="93000"/>
                </a:schemeClr>
              </a:solidFill>
              <a:round/>
            </a:ln>
            <a:effectLst/>
          </c:spPr>
          <c:marker>
            <c:symbol val="circle"/>
            <c:size val="5"/>
            <c:spPr>
              <a:solidFill>
                <a:schemeClr val="accent3">
                  <a:tint val="93000"/>
                </a:schemeClr>
              </a:solidFill>
              <a:ln w="9525">
                <a:solidFill>
                  <a:schemeClr val="accent3">
                    <a:tint val="93000"/>
                  </a:schemeClr>
                </a:solidFill>
              </a:ln>
              <a:effectLst/>
            </c:spPr>
          </c:marker>
          <c:dLbls>
            <c:dLbl>
              <c:idx val="0"/>
              <c:layout>
                <c:manualLayout>
                  <c:x val="-0.12786596119929453"/>
                  <c:y val="0"/>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D-5C13-40C2-891D-339F38260261}"/>
                </c:ext>
              </c:extLst>
            </c:dLbl>
            <c:dLbl>
              <c:idx val="1"/>
              <c:delete val="1"/>
              <c:extLst>
                <c:ext xmlns:c15="http://schemas.microsoft.com/office/drawing/2012/chart" uri="{CE6537A1-D6FC-4f65-9D91-7224C49458BB}"/>
                <c:ext xmlns:c16="http://schemas.microsoft.com/office/drawing/2014/chart" uri="{C3380CC4-5D6E-409C-BE32-E72D297353CC}">
                  <c16:uniqueId val="{0000000E-5C13-40C2-891D-339F38260261}"/>
                </c:ext>
              </c:extLst>
            </c:dLbl>
            <c:dLbl>
              <c:idx val="2"/>
              <c:delete val="1"/>
              <c:extLst>
                <c:ext xmlns:c15="http://schemas.microsoft.com/office/drawing/2012/chart" uri="{CE6537A1-D6FC-4f65-9D91-7224C49458BB}"/>
                <c:ext xmlns:c16="http://schemas.microsoft.com/office/drawing/2014/chart" uri="{C3380CC4-5D6E-409C-BE32-E72D297353CC}">
                  <c16:uniqueId val="{0000000F-5C13-40C2-891D-339F382602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Důchod!$X$5:$AA$5</c:f>
              <c:numCache>
                <c:formatCode>0.00</c:formatCode>
                <c:ptCount val="4"/>
                <c:pt idx="0">
                  <c:v>442799.66092798102</c:v>
                </c:pt>
                <c:pt idx="1">
                  <c:v>326377.75404002517</c:v>
                </c:pt>
                <c:pt idx="2">
                  <c:v>317472.56924072566</c:v>
                </c:pt>
                <c:pt idx="3">
                  <c:v>361937.73891432374</c:v>
                </c:pt>
              </c:numCache>
            </c:numRef>
          </c:val>
          <c:smooth val="0"/>
          <c:extLst>
            <c:ext xmlns:c16="http://schemas.microsoft.com/office/drawing/2014/chart" uri="{C3380CC4-5D6E-409C-BE32-E72D297353CC}">
              <c16:uniqueId val="{00000010-5C13-40C2-891D-339F38260261}"/>
            </c:ext>
          </c:extLst>
        </c:ser>
        <c:ser>
          <c:idx val="5"/>
          <c:order val="5"/>
          <c:tx>
            <c:strRef>
              <c:f>Důchod!$AC$1</c:f>
              <c:strCache>
                <c:ptCount val="1"/>
                <c:pt idx="0">
                  <c:v>Chov prasat a drůbeže</c:v>
                </c:pt>
              </c:strCache>
            </c:strRef>
          </c:tx>
          <c:spPr>
            <a:ln w="28575" cap="rnd">
              <a:solidFill>
                <a:schemeClr val="accent3">
                  <a:tint val="77000"/>
                </a:schemeClr>
              </a:solidFill>
              <a:round/>
            </a:ln>
            <a:effectLst/>
          </c:spPr>
          <c:marker>
            <c:symbol val="circle"/>
            <c:size val="5"/>
            <c:spPr>
              <a:solidFill>
                <a:schemeClr val="accent3">
                  <a:tint val="77000"/>
                </a:schemeClr>
              </a:solidFill>
              <a:ln w="9525">
                <a:solidFill>
                  <a:schemeClr val="accent3">
                    <a:tint val="77000"/>
                  </a:schemeClr>
                </a:solidFill>
              </a:ln>
              <a:effectLst/>
            </c:spPr>
          </c:marker>
          <c:dLbls>
            <c:dLbl>
              <c:idx val="0"/>
              <c:layout>
                <c:manualLayout>
                  <c:x val="-0.15211640211640212"/>
                  <c:y val="0"/>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1-5C13-40C2-891D-339F38260261}"/>
                </c:ext>
              </c:extLst>
            </c:dLbl>
            <c:dLbl>
              <c:idx val="1"/>
              <c:delete val="1"/>
              <c:extLst>
                <c:ext xmlns:c15="http://schemas.microsoft.com/office/drawing/2012/chart" uri="{CE6537A1-D6FC-4f65-9D91-7224C49458BB}"/>
                <c:ext xmlns:c16="http://schemas.microsoft.com/office/drawing/2014/chart" uri="{C3380CC4-5D6E-409C-BE32-E72D297353CC}">
                  <c16:uniqueId val="{00000012-5C13-40C2-891D-339F38260261}"/>
                </c:ext>
              </c:extLst>
            </c:dLbl>
            <c:dLbl>
              <c:idx val="2"/>
              <c:delete val="1"/>
              <c:extLst>
                <c:ext xmlns:c15="http://schemas.microsoft.com/office/drawing/2012/chart" uri="{CE6537A1-D6FC-4f65-9D91-7224C49458BB}"/>
                <c:ext xmlns:c16="http://schemas.microsoft.com/office/drawing/2014/chart" uri="{C3380CC4-5D6E-409C-BE32-E72D297353CC}">
                  <c16:uniqueId val="{00000013-5C13-40C2-891D-339F382602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Důchod!$AC$5:$AF$5</c:f>
              <c:numCache>
                <c:formatCode>0.00</c:formatCode>
                <c:ptCount val="4"/>
                <c:pt idx="0">
                  <c:v>159286.04678404011</c:v>
                </c:pt>
                <c:pt idx="1">
                  <c:v>100462.86329113923</c:v>
                </c:pt>
                <c:pt idx="2">
                  <c:v>334995.72600509092</c:v>
                </c:pt>
                <c:pt idx="3">
                  <c:v>138819.92023203539</c:v>
                </c:pt>
              </c:numCache>
            </c:numRef>
          </c:val>
          <c:smooth val="0"/>
          <c:extLst>
            <c:ext xmlns:c16="http://schemas.microsoft.com/office/drawing/2014/chart" uri="{C3380CC4-5D6E-409C-BE32-E72D297353CC}">
              <c16:uniqueId val="{00000014-5C13-40C2-891D-339F38260261}"/>
            </c:ext>
          </c:extLst>
        </c:ser>
        <c:ser>
          <c:idx val="6"/>
          <c:order val="6"/>
          <c:tx>
            <c:strRef>
              <c:f>Důchod!$AH$1</c:f>
              <c:strCache>
                <c:ptCount val="1"/>
                <c:pt idx="0">
                  <c:v>Smíšená výroba</c:v>
                </c:pt>
              </c:strCache>
            </c:strRef>
          </c:tx>
          <c:spPr>
            <a:ln w="28575" cap="rnd">
              <a:solidFill>
                <a:schemeClr val="accent3">
                  <a:tint val="62000"/>
                </a:schemeClr>
              </a:solidFill>
              <a:round/>
            </a:ln>
            <a:effectLst/>
          </c:spPr>
          <c:marker>
            <c:symbol val="circle"/>
            <c:size val="5"/>
            <c:spPr>
              <a:solidFill>
                <a:schemeClr val="accent3">
                  <a:tint val="62000"/>
                </a:schemeClr>
              </a:solidFill>
              <a:ln w="9525">
                <a:solidFill>
                  <a:schemeClr val="accent3">
                    <a:tint val="62000"/>
                  </a:schemeClr>
                </a:solidFill>
              </a:ln>
              <a:effectLst/>
            </c:spPr>
          </c:marker>
          <c:dLbls>
            <c:dLbl>
              <c:idx val="0"/>
              <c:layout>
                <c:manualLayout>
                  <c:x val="-0.14329805996472664"/>
                  <c:y val="-5.6433408577878106E-3"/>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5-5C13-40C2-891D-339F38260261}"/>
                </c:ext>
              </c:extLst>
            </c:dLbl>
            <c:dLbl>
              <c:idx val="1"/>
              <c:delete val="1"/>
              <c:extLst>
                <c:ext xmlns:c15="http://schemas.microsoft.com/office/drawing/2012/chart" uri="{CE6537A1-D6FC-4f65-9D91-7224C49458BB}"/>
                <c:ext xmlns:c16="http://schemas.microsoft.com/office/drawing/2014/chart" uri="{C3380CC4-5D6E-409C-BE32-E72D297353CC}">
                  <c16:uniqueId val="{00000016-5C13-40C2-891D-339F38260261}"/>
                </c:ext>
              </c:extLst>
            </c:dLbl>
            <c:dLbl>
              <c:idx val="2"/>
              <c:delete val="1"/>
              <c:extLst>
                <c:ext xmlns:c15="http://schemas.microsoft.com/office/drawing/2012/chart" uri="{CE6537A1-D6FC-4f65-9D91-7224C49458BB}"/>
                <c:ext xmlns:c16="http://schemas.microsoft.com/office/drawing/2014/chart" uri="{C3380CC4-5D6E-409C-BE32-E72D297353CC}">
                  <c16:uniqueId val="{00000017-5C13-40C2-891D-339F38260261}"/>
                </c:ext>
              </c:extLst>
            </c:dLbl>
            <c:dLbl>
              <c:idx val="3"/>
              <c:layout>
                <c:manualLayout>
                  <c:x val="0"/>
                  <c:y val="1.1286681715575621E-2"/>
                </c:manualLayout>
              </c:layou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8-5C13-40C2-891D-339F382602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0"/>
            <c:showCatName val="0"/>
            <c:showSerName val="1"/>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Důchod!$N$2:$Q$2</c:f>
              <c:strCache>
                <c:ptCount val="4"/>
                <c:pt idx="0">
                  <c:v>2015</c:v>
                </c:pt>
                <c:pt idx="1">
                  <c:v>2016</c:v>
                </c:pt>
                <c:pt idx="2">
                  <c:v>2017</c:v>
                </c:pt>
                <c:pt idx="3">
                  <c:v>2018</c:v>
                </c:pt>
              </c:strCache>
            </c:strRef>
          </c:cat>
          <c:val>
            <c:numRef>
              <c:f>Důchod!$AH$5:$AK$5</c:f>
              <c:numCache>
                <c:formatCode>0.00</c:formatCode>
                <c:ptCount val="4"/>
                <c:pt idx="0">
                  <c:v>221634.25562462982</c:v>
                </c:pt>
                <c:pt idx="1">
                  <c:v>189956.71327823773</c:v>
                </c:pt>
                <c:pt idx="2">
                  <c:v>220015.45410677069</c:v>
                </c:pt>
                <c:pt idx="3">
                  <c:v>270662.60371047468</c:v>
                </c:pt>
              </c:numCache>
            </c:numRef>
          </c:val>
          <c:smooth val="0"/>
          <c:extLst>
            <c:ext xmlns:c16="http://schemas.microsoft.com/office/drawing/2014/chart" uri="{C3380CC4-5D6E-409C-BE32-E72D297353CC}">
              <c16:uniqueId val="{00000019-5C13-40C2-891D-339F38260261}"/>
            </c:ext>
          </c:extLst>
        </c:ser>
        <c:dLbls>
          <c:showLegendKey val="0"/>
          <c:showVal val="0"/>
          <c:showCatName val="0"/>
          <c:showSerName val="0"/>
          <c:showPercent val="0"/>
          <c:showBubbleSize val="0"/>
        </c:dLbls>
        <c:marker val="1"/>
        <c:smooth val="0"/>
        <c:axId val="616556216"/>
        <c:axId val="616553264"/>
      </c:lineChart>
      <c:catAx>
        <c:axId val="616556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616553264"/>
        <c:crosses val="autoZero"/>
        <c:auto val="1"/>
        <c:lblAlgn val="ctr"/>
        <c:lblOffset val="100"/>
        <c:noMultiLvlLbl val="0"/>
      </c:catAx>
      <c:valAx>
        <c:axId val="616553264"/>
        <c:scaling>
          <c:orientation val="minMax"/>
          <c:max val="500000"/>
          <c:min val="1000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6165562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8.6317247153921708E-2"/>
          <c:y val="6.0154044380816035E-2"/>
          <c:w val="0.89118786532051597"/>
          <c:h val="0.85161193032689098"/>
        </c:manualLayout>
      </c:layout>
      <c:lineChart>
        <c:grouping val="standard"/>
        <c:varyColors val="0"/>
        <c:ser>
          <c:idx val="7"/>
          <c:order val="0"/>
          <c:tx>
            <c:strRef>
              <c:f>Důchod!$AM$1</c:f>
              <c:strCache>
                <c:ptCount val="1"/>
                <c:pt idx="0">
                  <c:v>FO CELKEM</c:v>
                </c:pt>
              </c:strCache>
            </c:strRef>
          </c:tx>
          <c:spPr>
            <a:ln w="28575" cap="rnd">
              <a:solidFill>
                <a:schemeClr val="accent3">
                  <a:lumMod val="50000"/>
                </a:schemeClr>
              </a:solidFill>
              <a:prstDash val="sysDash"/>
              <a:round/>
            </a:ln>
            <a:effectLst/>
          </c:spPr>
          <c:marker>
            <c:symbol val="circle"/>
            <c:size val="5"/>
            <c:spPr>
              <a:solidFill>
                <a:schemeClr val="accent3">
                  <a:lumMod val="50000"/>
                </a:schemeClr>
              </a:solidFill>
              <a:ln w="9525">
                <a:solidFill>
                  <a:schemeClr val="accent3">
                    <a:lumMod val="50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0-D5FF-43BF-BC82-60D908E4F03A}"/>
                </c:ext>
              </c:extLst>
            </c:dLbl>
            <c:dLbl>
              <c:idx val="2"/>
              <c:delete val="1"/>
              <c:extLst>
                <c:ext xmlns:c15="http://schemas.microsoft.com/office/drawing/2012/chart" uri="{CE6537A1-D6FC-4f65-9D91-7224C49458BB}"/>
                <c:ext xmlns:c16="http://schemas.microsoft.com/office/drawing/2014/chart" uri="{C3380CC4-5D6E-409C-BE32-E72D297353CC}">
                  <c16:uniqueId val="{00000001-D5FF-43BF-BC82-60D908E4F03A}"/>
                </c:ext>
              </c:extLst>
            </c:dLbl>
            <c:dLbl>
              <c:idx val="3"/>
              <c:layout>
                <c:manualLayout>
                  <c:x val="2.0569651015845241E-4"/>
                  <c:y val="4.2127428505275713E-3"/>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2-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Důchod!$AM$6:$AP$6</c:f>
              <c:numCache>
                <c:formatCode>0.00</c:formatCode>
                <c:ptCount val="4"/>
                <c:pt idx="0">
                  <c:v>222772.07350495036</c:v>
                </c:pt>
                <c:pt idx="1">
                  <c:v>212787.32543458525</c:v>
                </c:pt>
                <c:pt idx="2">
                  <c:v>240821.66592109369</c:v>
                </c:pt>
                <c:pt idx="3" formatCode="General">
                  <c:v>232186.51582088909</c:v>
                </c:pt>
              </c:numCache>
            </c:numRef>
          </c:val>
          <c:smooth val="0"/>
          <c:extLst>
            <c:ext xmlns:c16="http://schemas.microsoft.com/office/drawing/2014/chart" uri="{C3380CC4-5D6E-409C-BE32-E72D297353CC}">
              <c16:uniqueId val="{00000003-D5FF-43BF-BC82-60D908E4F03A}"/>
            </c:ext>
          </c:extLst>
        </c:ser>
        <c:ser>
          <c:idx val="0"/>
          <c:order val="1"/>
          <c:tx>
            <c:strRef>
              <c:f>Důchod!$C$1</c:f>
              <c:strCache>
                <c:ptCount val="1"/>
                <c:pt idx="0">
                  <c:v>Polní výroba</c:v>
                </c:pt>
              </c:strCache>
            </c:strRef>
          </c:tx>
          <c:spPr>
            <a:ln w="28575" cap="rnd">
              <a:solidFill>
                <a:schemeClr val="accent3">
                  <a:shade val="45000"/>
                </a:schemeClr>
              </a:solidFill>
              <a:round/>
            </a:ln>
            <a:effectLst/>
          </c:spPr>
          <c:marker>
            <c:symbol val="circle"/>
            <c:size val="5"/>
            <c:spPr>
              <a:solidFill>
                <a:schemeClr val="accent3">
                  <a:shade val="45000"/>
                </a:schemeClr>
              </a:solidFill>
              <a:ln w="9525">
                <a:solidFill>
                  <a:schemeClr val="accent3">
                    <a:shade val="45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4-D5FF-43BF-BC82-60D908E4F03A}"/>
                </c:ext>
              </c:extLst>
            </c:dLbl>
            <c:dLbl>
              <c:idx val="2"/>
              <c:delete val="1"/>
              <c:extLst>
                <c:ext xmlns:c15="http://schemas.microsoft.com/office/drawing/2012/chart" uri="{CE6537A1-D6FC-4f65-9D91-7224C49458BB}"/>
                <c:ext xmlns:c16="http://schemas.microsoft.com/office/drawing/2014/chart" uri="{C3380CC4-5D6E-409C-BE32-E72D297353CC}">
                  <c16:uniqueId val="{00000005-D5FF-43BF-BC82-60D908E4F03A}"/>
                </c:ext>
              </c:extLst>
            </c:dLbl>
            <c:dLbl>
              <c:idx val="3"/>
              <c:layout>
                <c:manualLayout>
                  <c:x val="2.7077541233270562E-3"/>
                  <c:y val="2.527645710316535E-2"/>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6-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Důchod!$C$6:$F$6</c:f>
              <c:numCache>
                <c:formatCode>0.00</c:formatCode>
                <c:ptCount val="4"/>
                <c:pt idx="0">
                  <c:v>138246.38226646488</c:v>
                </c:pt>
                <c:pt idx="1">
                  <c:v>163985.40563556834</c:v>
                </c:pt>
                <c:pt idx="2">
                  <c:v>164073.45713097311</c:v>
                </c:pt>
                <c:pt idx="3" formatCode="General">
                  <c:v>169519.20605171222</c:v>
                </c:pt>
              </c:numCache>
            </c:numRef>
          </c:val>
          <c:smooth val="0"/>
          <c:extLst>
            <c:ext xmlns:c16="http://schemas.microsoft.com/office/drawing/2014/chart" uri="{C3380CC4-5D6E-409C-BE32-E72D297353CC}">
              <c16:uniqueId val="{00000007-D5FF-43BF-BC82-60D908E4F03A}"/>
            </c:ext>
          </c:extLst>
        </c:ser>
        <c:ser>
          <c:idx val="2"/>
          <c:order val="2"/>
          <c:tx>
            <c:strRef>
              <c:f>Důchod!$N$1</c:f>
              <c:strCache>
                <c:ptCount val="1"/>
                <c:pt idx="0">
                  <c:v>Ovocnářství</c:v>
                </c:pt>
              </c:strCache>
            </c:strRef>
          </c:tx>
          <c:spPr>
            <a:ln w="28575" cap="rnd">
              <a:solidFill>
                <a:schemeClr val="accent3">
                  <a:shade val="76000"/>
                </a:schemeClr>
              </a:solidFill>
              <a:round/>
            </a:ln>
            <a:effectLst/>
          </c:spPr>
          <c:marker>
            <c:symbol val="circle"/>
            <c:size val="5"/>
            <c:spPr>
              <a:solidFill>
                <a:schemeClr val="accent3">
                  <a:shade val="76000"/>
                </a:schemeClr>
              </a:solidFill>
              <a:ln w="9525">
                <a:solidFill>
                  <a:schemeClr val="accent3">
                    <a:shade val="76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8-D5FF-43BF-BC82-60D908E4F03A}"/>
                </c:ext>
              </c:extLst>
            </c:dLbl>
            <c:dLbl>
              <c:idx val="2"/>
              <c:delete val="1"/>
              <c:extLst>
                <c:ext xmlns:c15="http://schemas.microsoft.com/office/drawing/2012/chart" uri="{CE6537A1-D6FC-4f65-9D91-7224C49458BB}"/>
                <c:ext xmlns:c16="http://schemas.microsoft.com/office/drawing/2014/chart" uri="{C3380CC4-5D6E-409C-BE32-E72D297353CC}">
                  <c16:uniqueId val="{00000009-D5FF-43BF-BC82-60D908E4F03A}"/>
                </c:ext>
              </c:extLst>
            </c:dLbl>
            <c:dLbl>
              <c:idx val="3"/>
              <c:layout>
                <c:manualLayout>
                  <c:x val="2.6008230452673688E-3"/>
                  <c:y val="-2.527645710316543E-2"/>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A-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Důchod!$N$6:$Q$6</c:f>
              <c:numCache>
                <c:formatCode>0.00</c:formatCode>
                <c:ptCount val="4"/>
                <c:pt idx="0">
                  <c:v>148002.07789787534</c:v>
                </c:pt>
                <c:pt idx="1">
                  <c:v>142490.70318849102</c:v>
                </c:pt>
                <c:pt idx="2">
                  <c:v>137115.25114012926</c:v>
                </c:pt>
                <c:pt idx="3" formatCode="General">
                  <c:v>174401.8707356517</c:v>
                </c:pt>
              </c:numCache>
            </c:numRef>
          </c:val>
          <c:smooth val="0"/>
          <c:extLst>
            <c:ext xmlns:c16="http://schemas.microsoft.com/office/drawing/2014/chart" uri="{C3380CC4-5D6E-409C-BE32-E72D297353CC}">
              <c16:uniqueId val="{0000000B-D5FF-43BF-BC82-60D908E4F03A}"/>
            </c:ext>
          </c:extLst>
        </c:ser>
        <c:ser>
          <c:idx val="3"/>
          <c:order val="3"/>
          <c:tx>
            <c:strRef>
              <c:f>Důchod!$S$1</c:f>
              <c:strCache>
                <c:ptCount val="1"/>
                <c:pt idx="0">
                  <c:v>Produkce mléka</c:v>
                </c:pt>
              </c:strCache>
            </c:strRef>
          </c:tx>
          <c:spPr>
            <a:ln w="28575" cap="rnd">
              <a:solidFill>
                <a:schemeClr val="accent3">
                  <a:shade val="92000"/>
                </a:schemeClr>
              </a:solidFill>
              <a:round/>
            </a:ln>
            <a:effectLst/>
          </c:spPr>
          <c:marker>
            <c:symbol val="circle"/>
            <c:size val="5"/>
            <c:spPr>
              <a:solidFill>
                <a:schemeClr val="accent3">
                  <a:shade val="92000"/>
                </a:schemeClr>
              </a:solidFill>
              <a:ln w="9525">
                <a:solidFill>
                  <a:schemeClr val="accent3">
                    <a:shade val="92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C-D5FF-43BF-BC82-60D908E4F03A}"/>
                </c:ext>
              </c:extLst>
            </c:dLbl>
            <c:dLbl>
              <c:idx val="2"/>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D-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Důchod!$S$6:$U$6</c:f>
              <c:numCache>
                <c:formatCode>0.00</c:formatCode>
                <c:ptCount val="3"/>
                <c:pt idx="0">
                  <c:v>258698.94319682958</c:v>
                </c:pt>
                <c:pt idx="1">
                  <c:v>148033.71069182394</c:v>
                </c:pt>
                <c:pt idx="2">
                  <c:v>145999.02777777778</c:v>
                </c:pt>
              </c:numCache>
            </c:numRef>
          </c:val>
          <c:smooth val="0"/>
          <c:extLst>
            <c:ext xmlns:c16="http://schemas.microsoft.com/office/drawing/2014/chart" uri="{C3380CC4-5D6E-409C-BE32-E72D297353CC}">
              <c16:uniqueId val="{0000000E-D5FF-43BF-BC82-60D908E4F03A}"/>
            </c:ext>
          </c:extLst>
        </c:ser>
        <c:ser>
          <c:idx val="4"/>
          <c:order val="4"/>
          <c:tx>
            <c:strRef>
              <c:f>Důchod!$X$1</c:f>
              <c:strCache>
                <c:ptCount val="1"/>
                <c:pt idx="0">
                  <c:v>Chov skotu</c:v>
                </c:pt>
              </c:strCache>
            </c:strRef>
          </c:tx>
          <c:spPr>
            <a:ln w="28575" cap="rnd">
              <a:solidFill>
                <a:schemeClr val="accent3">
                  <a:tint val="93000"/>
                </a:schemeClr>
              </a:solidFill>
              <a:round/>
            </a:ln>
            <a:effectLst/>
          </c:spPr>
          <c:marker>
            <c:symbol val="circle"/>
            <c:size val="5"/>
            <c:spPr>
              <a:solidFill>
                <a:schemeClr val="accent3">
                  <a:tint val="93000"/>
                </a:schemeClr>
              </a:solidFill>
              <a:ln w="9525">
                <a:solidFill>
                  <a:schemeClr val="accent3">
                    <a:tint val="93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F-D5FF-43BF-BC82-60D908E4F03A}"/>
                </c:ext>
              </c:extLst>
            </c:dLbl>
            <c:dLbl>
              <c:idx val="2"/>
              <c:delete val="1"/>
              <c:extLst>
                <c:ext xmlns:c15="http://schemas.microsoft.com/office/drawing/2012/chart" uri="{CE6537A1-D6FC-4f65-9D91-7224C49458BB}"/>
                <c:ext xmlns:c16="http://schemas.microsoft.com/office/drawing/2014/chart" uri="{C3380CC4-5D6E-409C-BE32-E72D297353CC}">
                  <c16:uniqueId val="{00000010-D5FF-43BF-BC82-60D908E4F03A}"/>
                </c:ext>
              </c:extLst>
            </c:dLbl>
            <c:dLbl>
              <c:idx val="3"/>
              <c:layout>
                <c:manualLayout>
                  <c:x val="-2.4280483458086256E-3"/>
                  <c:y val="-8.4254857010551808E-3"/>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1-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Důchod!$X$6:$AA$6</c:f>
              <c:numCache>
                <c:formatCode>0.00</c:formatCode>
                <c:ptCount val="4"/>
                <c:pt idx="0">
                  <c:v>289162.63145847025</c:v>
                </c:pt>
                <c:pt idx="1">
                  <c:v>221816.15097806259</c:v>
                </c:pt>
                <c:pt idx="2">
                  <c:v>211623.34161798967</c:v>
                </c:pt>
                <c:pt idx="3" formatCode="General">
                  <c:v>245162.20127899139</c:v>
                </c:pt>
              </c:numCache>
            </c:numRef>
          </c:val>
          <c:smooth val="0"/>
          <c:extLst>
            <c:ext xmlns:c16="http://schemas.microsoft.com/office/drawing/2014/chart" uri="{C3380CC4-5D6E-409C-BE32-E72D297353CC}">
              <c16:uniqueId val="{00000012-D5FF-43BF-BC82-60D908E4F03A}"/>
            </c:ext>
          </c:extLst>
        </c:ser>
        <c:ser>
          <c:idx val="5"/>
          <c:order val="5"/>
          <c:tx>
            <c:strRef>
              <c:f>Důchod!$AC$1</c:f>
              <c:strCache>
                <c:ptCount val="1"/>
                <c:pt idx="0">
                  <c:v>Chov prasat a drůbeže</c:v>
                </c:pt>
              </c:strCache>
            </c:strRef>
          </c:tx>
          <c:spPr>
            <a:ln w="28575" cap="rnd">
              <a:solidFill>
                <a:schemeClr val="accent3">
                  <a:tint val="77000"/>
                </a:schemeClr>
              </a:solidFill>
              <a:round/>
            </a:ln>
            <a:effectLst/>
          </c:spPr>
          <c:marker>
            <c:symbol val="circle"/>
            <c:size val="5"/>
            <c:spPr>
              <a:solidFill>
                <a:schemeClr val="accent3">
                  <a:tint val="77000"/>
                </a:schemeClr>
              </a:solidFill>
              <a:ln w="9525">
                <a:solidFill>
                  <a:schemeClr val="accent3">
                    <a:tint val="77000"/>
                  </a:schemeClr>
                </a:solidFill>
              </a:ln>
              <a:effectLst/>
            </c:spPr>
          </c:marker>
          <c:dLbls>
            <c:dLbl>
              <c:idx val="0"/>
              <c:layout>
                <c:manualLayout>
                  <c:x val="-0.14946152101357701"/>
                  <c:y val="6.3191142757913571E-2"/>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3-D5FF-43BF-BC82-60D908E4F03A}"/>
                </c:ext>
              </c:extLst>
            </c:dLbl>
            <c:dLbl>
              <c:idx val="1"/>
              <c:delete val="1"/>
              <c:extLst>
                <c:ext xmlns:c15="http://schemas.microsoft.com/office/drawing/2012/chart" uri="{CE6537A1-D6FC-4f65-9D91-7224C49458BB}"/>
                <c:ext xmlns:c16="http://schemas.microsoft.com/office/drawing/2014/chart" uri="{C3380CC4-5D6E-409C-BE32-E72D297353CC}">
                  <c16:uniqueId val="{00000014-D5FF-43BF-BC82-60D908E4F03A}"/>
                </c:ext>
              </c:extLst>
            </c:dLbl>
            <c:dLbl>
              <c:idx val="2"/>
              <c:delete val="1"/>
              <c:extLst>
                <c:ext xmlns:c15="http://schemas.microsoft.com/office/drawing/2012/chart" uri="{CE6537A1-D6FC-4f65-9D91-7224C49458BB}"/>
                <c:ext xmlns:c16="http://schemas.microsoft.com/office/drawing/2014/chart" uri="{C3380CC4-5D6E-409C-BE32-E72D297353CC}">
                  <c16:uniqueId val="{00000015-D5FF-43BF-BC82-60D908E4F03A}"/>
                </c:ext>
              </c:extLst>
            </c:dLbl>
            <c:dLbl>
              <c:idx val="3"/>
              <c:layout>
                <c:manualLayout>
                  <c:x val="-1.3831048896666902E-3"/>
                  <c:y val="3.7914685654747989E-2"/>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6-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Důchod!$AC$6:$AF$6</c:f>
              <c:numCache>
                <c:formatCode>0.00</c:formatCode>
                <c:ptCount val="4"/>
                <c:pt idx="0">
                  <c:v>134146.22497393392</c:v>
                </c:pt>
                <c:pt idx="1">
                  <c:v>79555.002906918482</c:v>
                </c:pt>
                <c:pt idx="2">
                  <c:v>295174.95664186822</c:v>
                </c:pt>
                <c:pt idx="3" formatCode="General">
                  <c:v>129528.82379604908</c:v>
                </c:pt>
              </c:numCache>
            </c:numRef>
          </c:val>
          <c:smooth val="0"/>
          <c:extLst>
            <c:ext xmlns:c16="http://schemas.microsoft.com/office/drawing/2014/chart" uri="{C3380CC4-5D6E-409C-BE32-E72D297353CC}">
              <c16:uniqueId val="{00000017-D5FF-43BF-BC82-60D908E4F03A}"/>
            </c:ext>
          </c:extLst>
        </c:ser>
        <c:ser>
          <c:idx val="6"/>
          <c:order val="6"/>
          <c:tx>
            <c:strRef>
              <c:f>Důchod!$AH$1</c:f>
              <c:strCache>
                <c:ptCount val="1"/>
                <c:pt idx="0">
                  <c:v>Smíšená výroba</c:v>
                </c:pt>
              </c:strCache>
            </c:strRef>
          </c:tx>
          <c:spPr>
            <a:ln w="28575" cap="rnd">
              <a:solidFill>
                <a:schemeClr val="accent3">
                  <a:tint val="62000"/>
                </a:schemeClr>
              </a:solidFill>
              <a:round/>
            </a:ln>
            <a:effectLst/>
          </c:spPr>
          <c:marker>
            <c:symbol val="circle"/>
            <c:size val="5"/>
            <c:spPr>
              <a:solidFill>
                <a:schemeClr val="accent3">
                  <a:tint val="62000"/>
                </a:schemeClr>
              </a:solidFill>
              <a:ln w="9525">
                <a:solidFill>
                  <a:schemeClr val="accent3">
                    <a:tint val="62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18-D5FF-43BF-BC82-60D908E4F03A}"/>
                </c:ext>
              </c:extLst>
            </c:dLbl>
            <c:dLbl>
              <c:idx val="2"/>
              <c:delete val="1"/>
              <c:extLst>
                <c:ext xmlns:c15="http://schemas.microsoft.com/office/drawing/2012/chart" uri="{CE6537A1-D6FC-4f65-9D91-7224C49458BB}"/>
                <c:ext xmlns:c16="http://schemas.microsoft.com/office/drawing/2014/chart" uri="{C3380CC4-5D6E-409C-BE32-E72D297353CC}">
                  <c16:uniqueId val="{00000019-D5FF-43BF-BC82-60D908E4F03A}"/>
                </c:ext>
              </c:extLst>
            </c:dLbl>
            <c:dLbl>
              <c:idx val="3"/>
              <c:layout>
                <c:manualLayout>
                  <c:x val="7.7366255144032921E-4"/>
                  <c:y val="0"/>
                </c:manualLayout>
              </c:layout>
              <c:dLblPos val="r"/>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1A-D5FF-43BF-BC82-60D908E4F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Důchod!$N$2:$Q$2</c:f>
              <c:strCache>
                <c:ptCount val="4"/>
                <c:pt idx="0">
                  <c:v>2015</c:v>
                </c:pt>
                <c:pt idx="1">
                  <c:v>2016</c:v>
                </c:pt>
                <c:pt idx="2">
                  <c:v>2017</c:v>
                </c:pt>
                <c:pt idx="3">
                  <c:v>2018</c:v>
                </c:pt>
              </c:strCache>
            </c:strRef>
          </c:cat>
          <c:val>
            <c:numRef>
              <c:f>Důchod!$AH$6:$AK$6</c:f>
              <c:numCache>
                <c:formatCode>0.00</c:formatCode>
                <c:ptCount val="4"/>
                <c:pt idx="0">
                  <c:v>170917.22878621955</c:v>
                </c:pt>
                <c:pt idx="1">
                  <c:v>143439.45972965591</c:v>
                </c:pt>
                <c:pt idx="2">
                  <c:v>178888.90767437092</c:v>
                </c:pt>
                <c:pt idx="3" formatCode="General">
                  <c:v>215978.72526252564</c:v>
                </c:pt>
              </c:numCache>
            </c:numRef>
          </c:val>
          <c:smooth val="0"/>
          <c:extLst>
            <c:ext xmlns:c16="http://schemas.microsoft.com/office/drawing/2014/chart" uri="{C3380CC4-5D6E-409C-BE32-E72D297353CC}">
              <c16:uniqueId val="{0000001B-D5FF-43BF-BC82-60D908E4F03A}"/>
            </c:ext>
          </c:extLst>
        </c:ser>
        <c:dLbls>
          <c:showLegendKey val="0"/>
          <c:showVal val="0"/>
          <c:showCatName val="0"/>
          <c:showSerName val="0"/>
          <c:showPercent val="0"/>
          <c:showBubbleSize val="0"/>
        </c:dLbls>
        <c:marker val="1"/>
        <c:smooth val="0"/>
        <c:axId val="616556216"/>
        <c:axId val="616553264"/>
      </c:lineChart>
      <c:catAx>
        <c:axId val="616556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616553264"/>
        <c:crosses val="autoZero"/>
        <c:auto val="1"/>
        <c:lblAlgn val="ctr"/>
        <c:lblOffset val="100"/>
        <c:noMultiLvlLbl val="0"/>
      </c:catAx>
      <c:valAx>
        <c:axId val="616553264"/>
        <c:scaling>
          <c:orientation val="minMax"/>
          <c:max val="300000"/>
          <c:min val="700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616556216"/>
        <c:crosses val="autoZero"/>
        <c:crossBetween val="between"/>
        <c:majorUnit val="200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manualLayout>
          <c:layoutTarget val="inner"/>
          <c:xMode val="edge"/>
          <c:yMode val="edge"/>
          <c:x val="4.1713455239582656E-2"/>
          <c:y val="2.5262227714236449E-2"/>
          <c:w val="0.9582865447604173"/>
          <c:h val="0.72230049140755215"/>
        </c:manualLayout>
      </c:layout>
      <c:lineChart>
        <c:grouping val="standard"/>
        <c:varyColors val="0"/>
        <c:ser>
          <c:idx val="0"/>
          <c:order val="0"/>
          <c:tx>
            <c:v>Úroková sazba ostatních zemědělců</c:v>
          </c:tx>
          <c:spPr>
            <a:ln w="28575" cap="rnd" cmpd="sng" algn="ctr">
              <a:solidFill>
                <a:schemeClr val="accent3">
                  <a:shade val="53000"/>
                  <a:shade val="95000"/>
                  <a:satMod val="105000"/>
                </a:schemeClr>
              </a:solidFill>
              <a:prstDash val="solid"/>
              <a:round/>
            </a:ln>
            <a:effectLst/>
          </c:spPr>
          <c:marker>
            <c:spPr>
              <a:solidFill>
                <a:schemeClr val="accent3">
                  <a:shade val="53000"/>
                </a:schemeClr>
              </a:solidFill>
              <a:ln w="9525" cap="flat" cmpd="sng" algn="ctr">
                <a:solidFill>
                  <a:schemeClr val="accent3">
                    <a:shade val="53000"/>
                    <a:shade val="95000"/>
                    <a:satMod val="105000"/>
                  </a:schemeClr>
                </a:solidFill>
                <a:prstDash val="solid"/>
                <a:round/>
              </a:ln>
              <a:effectLst/>
            </c:spPr>
          </c:marker>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'I-zemědělec - mladý zemědělec'!$A$36:$A$46</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'I-zemědělec - mladý zemědělec'!$F$36:$F$46</c:f>
              <c:numCache>
                <c:formatCode>#,##0.00</c:formatCode>
                <c:ptCount val="11"/>
                <c:pt idx="0">
                  <c:v>6.0701894563426748</c:v>
                </c:pt>
                <c:pt idx="1">
                  <c:v>5.6693309608540998</c:v>
                </c:pt>
                <c:pt idx="2">
                  <c:v>6.413825000000001</c:v>
                </c:pt>
                <c:pt idx="3">
                  <c:v>6.3855891822279327</c:v>
                </c:pt>
                <c:pt idx="4">
                  <c:v>5.9435287902799709</c:v>
                </c:pt>
                <c:pt idx="5">
                  <c:v>5.1499157387902468</c:v>
                </c:pt>
                <c:pt idx="6">
                  <c:v>4.1124018058690641</c:v>
                </c:pt>
                <c:pt idx="7">
                  <c:v>3.9399194630872367</c:v>
                </c:pt>
                <c:pt idx="8">
                  <c:v>3.499135135135131</c:v>
                </c:pt>
                <c:pt idx="9">
                  <c:v>3.1730669456066742</c:v>
                </c:pt>
                <c:pt idx="10">
                  <c:v>2.8942903356247243</c:v>
                </c:pt>
              </c:numCache>
            </c:numRef>
          </c:val>
          <c:smooth val="0"/>
          <c:extLst>
            <c:ext xmlns:c16="http://schemas.microsoft.com/office/drawing/2014/chart" uri="{C3380CC4-5D6E-409C-BE32-E72D297353CC}">
              <c16:uniqueId val="{00000000-89CA-4E55-9EC2-C6DF6A2415E8}"/>
            </c:ext>
          </c:extLst>
        </c:ser>
        <c:ser>
          <c:idx val="2"/>
          <c:order val="2"/>
          <c:tx>
            <c:v>Úroková sazba mladého zemědělce</c:v>
          </c:tx>
          <c:spPr>
            <a:ln w="28575" cap="rnd" cmpd="sng" algn="ctr">
              <a:solidFill>
                <a:schemeClr val="accent3">
                  <a:shade val="95000"/>
                  <a:satMod val="105000"/>
                </a:schemeClr>
              </a:solidFill>
              <a:prstDash val="solid"/>
              <a:round/>
            </a:ln>
            <a:effectLst/>
          </c:spPr>
          <c:marker>
            <c:spPr>
              <a:solidFill>
                <a:schemeClr val="accent3"/>
              </a:solidFill>
              <a:ln w="9525" cap="flat" cmpd="sng" algn="ctr">
                <a:solidFill>
                  <a:schemeClr val="accent3">
                    <a:shade val="95000"/>
                    <a:satMod val="105000"/>
                  </a:schemeClr>
                </a:solidFill>
                <a:prstDash val="solid"/>
                <a:round/>
              </a:ln>
              <a:effectLst/>
            </c:spPr>
          </c:marker>
          <c:dLbls>
            <c:dLbl>
              <c:idx val="1"/>
              <c:layout>
                <c:manualLayout>
                  <c:x val="-4.648157119560771E-2"/>
                  <c:y val="-4.53698418591267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9CA-4E55-9EC2-C6DF6A2415E8}"/>
                </c:ext>
              </c:extLst>
            </c:dLbl>
            <c:dLbl>
              <c:idx val="2"/>
              <c:layout>
                <c:manualLayout>
                  <c:x val="-3.5905559547005271E-2"/>
                  <c:y val="-4.07789234187810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9CA-4E55-9EC2-C6DF6A2415E8}"/>
                </c:ext>
              </c:extLst>
            </c:dLbl>
            <c:dLbl>
              <c:idx val="6"/>
              <c:layout>
                <c:manualLayout>
                  <c:x val="-2.5329547898402836E-2"/>
                  <c:y val="-3.15970865380896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9CA-4E55-9EC2-C6DF6A2415E8}"/>
                </c:ext>
              </c:extLst>
            </c:dLbl>
            <c:dLbl>
              <c:idx val="7"/>
              <c:layout>
                <c:manualLayout>
                  <c:x val="-3.3261556634854757E-2"/>
                  <c:y val="-4.53698418591267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9CA-4E55-9EC2-C6DF6A2415E8}"/>
                </c:ext>
              </c:extLst>
            </c:dLbl>
            <c:dLbl>
              <c:idx val="8"/>
              <c:layout>
                <c:manualLayout>
                  <c:x val="-3.8549562459155882E-2"/>
                  <c:y val="-4.07789234187810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9CA-4E55-9EC2-C6DF6A2415E8}"/>
                </c:ext>
              </c:extLst>
            </c:dLbl>
            <c:dLbl>
              <c:idx val="9"/>
              <c:layout>
                <c:manualLayout>
                  <c:x val="-3.8549562459155882E-2"/>
                  <c:y val="-3.61880049784352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9CA-4E55-9EC2-C6DF6A2415E8}"/>
                </c:ext>
              </c:extLst>
            </c:dLbl>
            <c:dLbl>
              <c:idx val="10"/>
              <c:layout>
                <c:manualLayout>
                  <c:x val="-3.862513514081814E-2"/>
                  <c:y val="-4.53698418591266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9CA-4E55-9EC2-C6DF6A2415E8}"/>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'I-zemědělec - mladý zemědělec'!$A$36:$A$46</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'I-zemědělec - mladý zemědělec'!$F$20:$F$30</c:f>
              <c:numCache>
                <c:formatCode>#,##0.00</c:formatCode>
                <c:ptCount val="11"/>
                <c:pt idx="0">
                  <c:v>7.1275739644970448</c:v>
                </c:pt>
                <c:pt idx="1">
                  <c:v>6.3533037694013306</c:v>
                </c:pt>
                <c:pt idx="2">
                  <c:v>7.068506493506491</c:v>
                </c:pt>
                <c:pt idx="3">
                  <c:v>7.0123492063492092</c:v>
                </c:pt>
                <c:pt idx="4">
                  <c:v>6.5607440100882704</c:v>
                </c:pt>
                <c:pt idx="5">
                  <c:v>5.8774231088944289</c:v>
                </c:pt>
                <c:pt idx="6">
                  <c:v>4.5656963613550756</c:v>
                </c:pt>
                <c:pt idx="7">
                  <c:v>4.346666666666664</c:v>
                </c:pt>
                <c:pt idx="8">
                  <c:v>3.9176565656565652</c:v>
                </c:pt>
                <c:pt idx="9">
                  <c:v>3.6328143021914601</c:v>
                </c:pt>
                <c:pt idx="10">
                  <c:v>3.2803595505617937</c:v>
                </c:pt>
              </c:numCache>
            </c:numRef>
          </c:val>
          <c:smooth val="0"/>
          <c:extLst>
            <c:ext xmlns:c16="http://schemas.microsoft.com/office/drawing/2014/chart" uri="{C3380CC4-5D6E-409C-BE32-E72D297353CC}">
              <c16:uniqueId val="{00000008-89CA-4E55-9EC2-C6DF6A2415E8}"/>
            </c:ext>
          </c:extLst>
        </c:ser>
        <c:ser>
          <c:idx val="3"/>
          <c:order val="3"/>
          <c:tx>
            <c:v>Dotovaná úroková sazba mladého zemědělce</c:v>
          </c:tx>
          <c:spPr>
            <a:ln w="28575" cap="rnd" cmpd="sng" algn="ctr">
              <a:solidFill>
                <a:schemeClr val="accent3">
                  <a:lumMod val="50000"/>
                </a:schemeClr>
              </a:solidFill>
              <a:prstDash val="solid"/>
              <a:round/>
            </a:ln>
            <a:effectLst/>
          </c:spPr>
          <c:marker>
            <c:spPr>
              <a:noFill/>
              <a:ln w="9525" cap="flat" cmpd="sng" algn="ctr">
                <a:solidFill>
                  <a:schemeClr val="accent3">
                    <a:lumMod val="50000"/>
                  </a:schemeClr>
                </a:solidFill>
                <a:prstDash val="solid"/>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val>
            <c:numRef>
              <c:f>'I-zemědělec - mladý zemědělec'!$H$20:$H$30</c:f>
              <c:numCache>
                <c:formatCode>#,##0.00</c:formatCode>
                <c:ptCount val="11"/>
                <c:pt idx="0">
                  <c:v>2.4153846153846183</c:v>
                </c:pt>
                <c:pt idx="1">
                  <c:v>3.2751219512195138</c:v>
                </c:pt>
                <c:pt idx="2">
                  <c:v>2.8851295871884073</c:v>
                </c:pt>
                <c:pt idx="3">
                  <c:v>2.5147619047619072</c:v>
                </c:pt>
                <c:pt idx="4">
                  <c:v>1.968616621553239</c:v>
                </c:pt>
                <c:pt idx="5">
                  <c:v>1.8831587697423124</c:v>
                </c:pt>
                <c:pt idx="6">
                  <c:v>1.6975407779171836</c:v>
                </c:pt>
                <c:pt idx="7">
                  <c:v>1.3989556509298979</c:v>
                </c:pt>
                <c:pt idx="8">
                  <c:v>1.1772525252525243</c:v>
                </c:pt>
                <c:pt idx="9">
                  <c:v>1.0197347174163727</c:v>
                </c:pt>
                <c:pt idx="10">
                  <c:v>0.72467415730336748</c:v>
                </c:pt>
              </c:numCache>
            </c:numRef>
          </c:val>
          <c:smooth val="0"/>
          <c:extLst>
            <c:ext xmlns:c16="http://schemas.microsoft.com/office/drawing/2014/chart" uri="{C3380CC4-5D6E-409C-BE32-E72D297353CC}">
              <c16:uniqueId val="{00000009-89CA-4E55-9EC2-C6DF6A2415E8}"/>
            </c:ext>
          </c:extLst>
        </c:ser>
        <c:ser>
          <c:idx val="4"/>
          <c:order val="4"/>
          <c:tx>
            <c:v>Dotovaná úroková sazba ostatních zemědělců</c:v>
          </c:tx>
          <c:spPr>
            <a:ln w="28575" cap="rnd" cmpd="sng" algn="ctr">
              <a:solidFill>
                <a:schemeClr val="accent3">
                  <a:tint val="54000"/>
                  <a:shade val="95000"/>
                  <a:satMod val="105000"/>
                </a:schemeClr>
              </a:solidFill>
              <a:prstDash val="solid"/>
              <a:round/>
            </a:ln>
            <a:effectLst/>
          </c:spPr>
          <c:marker>
            <c:symbol val="circle"/>
            <c:size val="7"/>
            <c:spPr>
              <a:solidFill>
                <a:schemeClr val="accent3">
                  <a:tint val="54000"/>
                </a:schemeClr>
              </a:solidFill>
              <a:ln w="9525" cap="flat" cmpd="sng" algn="ctr">
                <a:solidFill>
                  <a:schemeClr val="accent3">
                    <a:tint val="54000"/>
                    <a:shade val="95000"/>
                    <a:satMod val="105000"/>
                  </a:schemeClr>
                </a:solidFill>
                <a:prstDash val="solid"/>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val>
            <c:numRef>
              <c:f>'I-zemědělec - mladý zemědělec'!$H$36:$H$46</c:f>
              <c:numCache>
                <c:formatCode>#,##0.00</c:formatCode>
                <c:ptCount val="11"/>
                <c:pt idx="0">
                  <c:v>2.5259367726102138</c:v>
                </c:pt>
                <c:pt idx="1">
                  <c:v>3.0235587188612207</c:v>
                </c:pt>
                <c:pt idx="2">
                  <c:v>2.8183166666666679</c:v>
                </c:pt>
                <c:pt idx="3">
                  <c:v>2.5087548817766097</c:v>
                </c:pt>
                <c:pt idx="4">
                  <c:v>2.0229755987906115</c:v>
                </c:pt>
                <c:pt idx="5">
                  <c:v>1.7812669274751709</c:v>
                </c:pt>
                <c:pt idx="6">
                  <c:v>1.7307313769751649</c:v>
                </c:pt>
                <c:pt idx="7">
                  <c:v>1.5191767337807565</c:v>
                </c:pt>
                <c:pt idx="8">
                  <c:v>1.1867905405405406</c:v>
                </c:pt>
                <c:pt idx="9">
                  <c:v>1.1888661087865948</c:v>
                </c:pt>
                <c:pt idx="10">
                  <c:v>0.93387771426551036</c:v>
                </c:pt>
              </c:numCache>
            </c:numRef>
          </c:val>
          <c:smooth val="0"/>
          <c:extLst>
            <c:ext xmlns:c16="http://schemas.microsoft.com/office/drawing/2014/chart" uri="{C3380CC4-5D6E-409C-BE32-E72D297353CC}">
              <c16:uniqueId val="{0000000A-89CA-4E55-9EC2-C6DF6A2415E8}"/>
            </c:ext>
          </c:extLst>
        </c:ser>
        <c:dLbls>
          <c:showLegendKey val="0"/>
          <c:showVal val="0"/>
          <c:showCatName val="0"/>
          <c:showSerName val="0"/>
          <c:showPercent val="0"/>
          <c:showBubbleSize val="0"/>
        </c:dLbls>
        <c:marker val="1"/>
        <c:smooth val="0"/>
        <c:axId val="80609280"/>
        <c:axId val="80610816"/>
        <c:extLst>
          <c:ext xmlns:c15="http://schemas.microsoft.com/office/drawing/2012/chart" uri="{02D57815-91ED-43cb-92C2-25804820EDAC}">
            <c15:filteredLineSeries>
              <c15:ser>
                <c:idx val="1"/>
                <c:order val="1"/>
                <c:tx>
                  <c:strRef>
                    <c:extLst>
                      <c:ext uri="{02D57815-91ED-43cb-92C2-25804820EDAC}">
                        <c15:formulaRef>
                          <c15:sqref>'I-zemědělec - mladý zemědělec'!$G$2:$G$3</c15:sqref>
                        </c15:formulaRef>
                      </c:ext>
                    </c:extLst>
                    <c:strCache>
                      <c:ptCount val="2"/>
                      <c:pt idx="0">
                        <c:v>Procento dotace</c:v>
                      </c:pt>
                      <c:pt idx="1">
                        <c:v>v %</c:v>
                      </c:pt>
                    </c:strCache>
                  </c:strRef>
                </c:tx>
                <c:spPr>
                  <a:ln w="28575" cap="rnd" cmpd="sng" algn="ctr">
                    <a:solidFill>
                      <a:schemeClr val="accent3">
                        <a:shade val="76000"/>
                        <a:shade val="95000"/>
                        <a:satMod val="105000"/>
                      </a:schemeClr>
                    </a:solidFill>
                    <a:prstDash val="solid"/>
                    <a:round/>
                  </a:ln>
                  <a:effectLst/>
                </c:spPr>
                <c:marker>
                  <c:spPr>
                    <a:solidFill>
                      <a:schemeClr val="accent3">
                        <a:shade val="76000"/>
                      </a:schemeClr>
                    </a:solidFill>
                    <a:ln w="9525" cap="flat" cmpd="sng" algn="ctr">
                      <a:solidFill>
                        <a:schemeClr val="accent3">
                          <a:shade val="76000"/>
                          <a:shade val="95000"/>
                          <a:satMod val="105000"/>
                        </a:schemeClr>
                      </a:solidFill>
                      <a:prstDash val="solid"/>
                      <a:round/>
                    </a:ln>
                    <a:effectLst/>
                  </c:spPr>
                </c:marker>
                <c:dLbls>
                  <c:dLbl>
                    <c:idx val="1"/>
                    <c:layout>
                      <c:manualLayout>
                        <c:x val="-4.3837568283457098E-2"/>
                        <c:y val="4.6448526947787519E-2"/>
                      </c:manualLayout>
                    </c:layout>
                    <c:dLblPos val="r"/>
                    <c:showLegendKey val="0"/>
                    <c:showVal val="1"/>
                    <c:showCatName val="0"/>
                    <c:showSerName val="0"/>
                    <c:showPercent val="0"/>
                    <c:showBubbleSize val="0"/>
                    <c:extLst>
                      <c:ext uri="{CE6537A1-D6FC-4f65-9D91-7224C49458BB}"/>
                      <c:ext xmlns:c16="http://schemas.microsoft.com/office/drawing/2014/chart" uri="{C3380CC4-5D6E-409C-BE32-E72D297353CC}">
                        <c16:uniqueId val="{0000000B-89CA-4E55-9EC2-C6DF6A2415E8}"/>
                      </c:ext>
                    </c:extLst>
                  </c:dLbl>
                  <c:dLbl>
                    <c:idx val="10"/>
                    <c:layout>
                      <c:manualLayout>
                        <c:x val="-3.862513514081814E-2"/>
                        <c:y val="-4.9960760299472481E-2"/>
                      </c:manualLayout>
                    </c:layout>
                    <c:dLblPos val="r"/>
                    <c:showLegendKey val="0"/>
                    <c:showVal val="1"/>
                    <c:showCatName val="0"/>
                    <c:showSerName val="0"/>
                    <c:showPercent val="0"/>
                    <c:showBubbleSize val="0"/>
                    <c:extLst>
                      <c:ext uri="{CE6537A1-D6FC-4f65-9D91-7224C49458BB}"/>
                      <c:ext xmlns:c16="http://schemas.microsoft.com/office/drawing/2014/chart" uri="{C3380CC4-5D6E-409C-BE32-E72D297353CC}">
                        <c16:uniqueId val="{0000000C-89CA-4E55-9EC2-C6DF6A2415E8}"/>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dLblPos val="t"/>
                  <c:showLegendKey val="0"/>
                  <c:showVal val="1"/>
                  <c:showCatName val="0"/>
                  <c:showSerName val="0"/>
                  <c:showPercent val="0"/>
                  <c:showBubbleSize val="0"/>
                  <c:showLeaderLines val="0"/>
                  <c:extLst>
                    <c:ext uri="{CE6537A1-D6FC-4f65-9D91-7224C49458BB}">
                      <c15:showLeaderLines val="0"/>
                    </c:ext>
                  </c:extLst>
                </c:dLbls>
                <c:cat>
                  <c:numRef>
                    <c:extLst>
                      <c:ext uri="{02D57815-91ED-43cb-92C2-25804820EDAC}">
                        <c15:formulaRef>
                          <c15:sqref>'I-zemědělec - mladý zemědělec'!$A$36:$A$46</c15:sqref>
                        </c15:formulaRef>
                      </c:ext>
                    </c:extLst>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extLst>
                      <c:ext uri="{02D57815-91ED-43cb-92C2-25804820EDAC}">
                        <c15:formulaRef>
                          <c15:sqref>'I-zemědělec - mladý zemědělec'!$G$36:$G$46</c15:sqref>
                        </c15:formulaRef>
                      </c:ext>
                    </c:extLst>
                    <c:numCache>
                      <c:formatCode>#,##0.00</c:formatCode>
                      <c:ptCount val="11"/>
                      <c:pt idx="0">
                        <c:v>3.5442526837324611</c:v>
                      </c:pt>
                      <c:pt idx="1">
                        <c:v>2.6457722419928791</c:v>
                      </c:pt>
                      <c:pt idx="2">
                        <c:v>3.5955083333333331</c:v>
                      </c:pt>
                      <c:pt idx="3">
                        <c:v>3.876834300451323</c:v>
                      </c:pt>
                      <c:pt idx="4">
                        <c:v>3.9205531914893594</c:v>
                      </c:pt>
                      <c:pt idx="5">
                        <c:v>3.3686488113150759</c:v>
                      </c:pt>
                      <c:pt idx="6">
                        <c:v>2.3816704288938992</c:v>
                      </c:pt>
                      <c:pt idx="7">
                        <c:v>2.4207427293064803</c:v>
                      </c:pt>
                      <c:pt idx="8">
                        <c:v>2.3123445945945904</c:v>
                      </c:pt>
                      <c:pt idx="9">
                        <c:v>1.9842008368200794</c:v>
                      </c:pt>
                      <c:pt idx="10">
                        <c:v>1.9604126213592139</c:v>
                      </c:pt>
                    </c:numCache>
                  </c:numRef>
                </c:val>
                <c:smooth val="0"/>
                <c:extLst>
                  <c:ext xmlns:c16="http://schemas.microsoft.com/office/drawing/2014/chart" uri="{C3380CC4-5D6E-409C-BE32-E72D297353CC}">
                    <c16:uniqueId val="{0000000D-89CA-4E55-9EC2-C6DF6A2415E8}"/>
                  </c:ext>
                </c:extLst>
              </c15:ser>
            </c15:filteredLineSeries>
          </c:ext>
        </c:extLst>
      </c:lineChart>
      <c:catAx>
        <c:axId val="80609280"/>
        <c:scaling>
          <c:orientation val="minMax"/>
        </c:scaling>
        <c:delete val="0"/>
        <c:axPos val="b"/>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crossAx val="80610816"/>
        <c:crosses val="autoZero"/>
        <c:auto val="1"/>
        <c:lblAlgn val="ctr"/>
        <c:lblOffset val="100"/>
        <c:noMultiLvlLbl val="0"/>
      </c:catAx>
      <c:valAx>
        <c:axId val="80610816"/>
        <c:scaling>
          <c:orientation val="minMax"/>
          <c:max val="8"/>
        </c:scaling>
        <c:delete val="0"/>
        <c:axPos val="l"/>
        <c:majorGridlines>
          <c:spPr>
            <a:ln w="9525" cap="flat" cmpd="sng" algn="ctr">
              <a:solidFill>
                <a:schemeClr val="tx1">
                  <a:tint val="75000"/>
                  <a:shade val="95000"/>
                  <a:satMod val="105000"/>
                </a:schemeClr>
              </a:solidFill>
              <a:prstDash val="solid"/>
              <a:round/>
            </a:ln>
            <a:effectLst/>
          </c:spPr>
        </c:majorGridlines>
        <c:numFmt formatCode="#,##0"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crossAx val="80609280"/>
        <c:crosses val="autoZero"/>
        <c:crossBetween val="between"/>
      </c:valAx>
      <c:spPr>
        <a:solidFill>
          <a:schemeClr val="bg1"/>
        </a:solidFill>
        <a:ln>
          <a:noFill/>
        </a:ln>
        <a:effectLst/>
      </c:spPr>
    </c:plotArea>
    <c:legend>
      <c:legendPos val="b"/>
      <c:layout>
        <c:manualLayout>
          <c:xMode val="edge"/>
          <c:yMode val="edge"/>
          <c:x val="3.3278236914600552E-3"/>
          <c:y val="0.82501508707396976"/>
          <c:w val="0.99334435261707987"/>
          <c:h val="0.1749849129260302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cs-CZ"/>
        </a:p>
      </c:txPr>
    </c:legend>
    <c:plotVisOnly val="1"/>
    <c:dispBlanksAs val="gap"/>
    <c:showDLblsOverMax val="0"/>
  </c:chart>
  <c:spPr>
    <a:solidFill>
      <a:schemeClr val="bg1"/>
    </a:solidFill>
    <a:ln w="9525" cap="flat" cmpd="sng" algn="ctr">
      <a:noFill/>
      <a:prstDash val="solid"/>
      <a:round/>
    </a:ln>
    <a:effectLst/>
  </c:spPr>
  <c:txPr>
    <a:bodyPr/>
    <a:lstStyle/>
    <a:p>
      <a:pPr>
        <a:defRPr>
          <a:latin typeface="Times New Roman" panose="02020603050405020304" pitchFamily="18" charset="0"/>
          <a:cs typeface="Times New Roman" panose="02020603050405020304" pitchFamily="18" charset="0"/>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withinLinear" id="16">
  <a:schemeClr val="accent3"/>
</cs:colorStyle>
</file>

<file path=word/charts/colors3.xml><?xml version="1.0" encoding="utf-8"?>
<cs:colorStyle xmlns:cs="http://schemas.microsoft.com/office/drawing/2012/chartStyle" xmlns:a="http://schemas.openxmlformats.org/drawingml/2006/main" meth="withinLinear" id="16">
  <a:schemeClr val="accent3"/>
</cs:colorStyle>
</file>

<file path=word/charts/colors4.xml><?xml version="1.0" encoding="utf-8"?>
<cs:colorStyle xmlns:cs="http://schemas.microsoft.com/office/drawing/2012/chartStyle" xmlns:a="http://schemas.openxmlformats.org/drawingml/2006/main" meth="withinLinear" id="16">
  <a:schemeClr val="accent3"/>
</cs:colorStyle>
</file>

<file path=word/charts/colors5.xml><?xml version="1.0" encoding="utf-8"?>
<cs:colorStyle xmlns:cs="http://schemas.microsoft.com/office/drawing/2012/chartStyle" xmlns:a="http://schemas.openxmlformats.org/drawingml/2006/main" meth="withinLinear" id="16">
  <a:schemeClr val="accent3"/>
</cs:colorStyle>
</file>

<file path=word/charts/colors6.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D1D02-E89D-4D18-9377-44565864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40</Pages>
  <Words>15608</Words>
  <Characters>92094</Characters>
  <Application>Microsoft Office Word</Application>
  <DocSecurity>0</DocSecurity>
  <Lines>767</Lines>
  <Paragraphs>214</Paragraphs>
  <ScaleCrop>false</ScaleCrop>
  <Company/>
  <LinksUpToDate>false</LinksUpToDate>
  <CharactersWithSpaces>107488</CharactersWithSpaces>
  <SharedDoc>false</SharedDoc>
  <HLinks>
    <vt:vector size="390" baseType="variant">
      <vt:variant>
        <vt:i4>1638460</vt:i4>
      </vt:variant>
      <vt:variant>
        <vt:i4>386</vt:i4>
      </vt:variant>
      <vt:variant>
        <vt:i4>0</vt:i4>
      </vt:variant>
      <vt:variant>
        <vt:i4>5</vt:i4>
      </vt:variant>
      <vt:variant>
        <vt:lpwstr/>
      </vt:variant>
      <vt:variant>
        <vt:lpwstr>_Toc81752218</vt:lpwstr>
      </vt:variant>
      <vt:variant>
        <vt:i4>1441852</vt:i4>
      </vt:variant>
      <vt:variant>
        <vt:i4>380</vt:i4>
      </vt:variant>
      <vt:variant>
        <vt:i4>0</vt:i4>
      </vt:variant>
      <vt:variant>
        <vt:i4>5</vt:i4>
      </vt:variant>
      <vt:variant>
        <vt:lpwstr/>
      </vt:variant>
      <vt:variant>
        <vt:lpwstr>_Toc81752217</vt:lpwstr>
      </vt:variant>
      <vt:variant>
        <vt:i4>1507388</vt:i4>
      </vt:variant>
      <vt:variant>
        <vt:i4>374</vt:i4>
      </vt:variant>
      <vt:variant>
        <vt:i4>0</vt:i4>
      </vt:variant>
      <vt:variant>
        <vt:i4>5</vt:i4>
      </vt:variant>
      <vt:variant>
        <vt:lpwstr/>
      </vt:variant>
      <vt:variant>
        <vt:lpwstr>_Toc81752216</vt:lpwstr>
      </vt:variant>
      <vt:variant>
        <vt:i4>1310780</vt:i4>
      </vt:variant>
      <vt:variant>
        <vt:i4>368</vt:i4>
      </vt:variant>
      <vt:variant>
        <vt:i4>0</vt:i4>
      </vt:variant>
      <vt:variant>
        <vt:i4>5</vt:i4>
      </vt:variant>
      <vt:variant>
        <vt:lpwstr/>
      </vt:variant>
      <vt:variant>
        <vt:lpwstr>_Toc81752215</vt:lpwstr>
      </vt:variant>
      <vt:variant>
        <vt:i4>1376316</vt:i4>
      </vt:variant>
      <vt:variant>
        <vt:i4>362</vt:i4>
      </vt:variant>
      <vt:variant>
        <vt:i4>0</vt:i4>
      </vt:variant>
      <vt:variant>
        <vt:i4>5</vt:i4>
      </vt:variant>
      <vt:variant>
        <vt:lpwstr/>
      </vt:variant>
      <vt:variant>
        <vt:lpwstr>_Toc81752214</vt:lpwstr>
      </vt:variant>
      <vt:variant>
        <vt:i4>1179708</vt:i4>
      </vt:variant>
      <vt:variant>
        <vt:i4>356</vt:i4>
      </vt:variant>
      <vt:variant>
        <vt:i4>0</vt:i4>
      </vt:variant>
      <vt:variant>
        <vt:i4>5</vt:i4>
      </vt:variant>
      <vt:variant>
        <vt:lpwstr/>
      </vt:variant>
      <vt:variant>
        <vt:lpwstr>_Toc81752213</vt:lpwstr>
      </vt:variant>
      <vt:variant>
        <vt:i4>1245244</vt:i4>
      </vt:variant>
      <vt:variant>
        <vt:i4>350</vt:i4>
      </vt:variant>
      <vt:variant>
        <vt:i4>0</vt:i4>
      </vt:variant>
      <vt:variant>
        <vt:i4>5</vt:i4>
      </vt:variant>
      <vt:variant>
        <vt:lpwstr/>
      </vt:variant>
      <vt:variant>
        <vt:lpwstr>_Toc81752212</vt:lpwstr>
      </vt:variant>
      <vt:variant>
        <vt:i4>1048636</vt:i4>
      </vt:variant>
      <vt:variant>
        <vt:i4>344</vt:i4>
      </vt:variant>
      <vt:variant>
        <vt:i4>0</vt:i4>
      </vt:variant>
      <vt:variant>
        <vt:i4>5</vt:i4>
      </vt:variant>
      <vt:variant>
        <vt:lpwstr/>
      </vt:variant>
      <vt:variant>
        <vt:lpwstr>_Toc81752211</vt:lpwstr>
      </vt:variant>
      <vt:variant>
        <vt:i4>1114172</vt:i4>
      </vt:variant>
      <vt:variant>
        <vt:i4>338</vt:i4>
      </vt:variant>
      <vt:variant>
        <vt:i4>0</vt:i4>
      </vt:variant>
      <vt:variant>
        <vt:i4>5</vt:i4>
      </vt:variant>
      <vt:variant>
        <vt:lpwstr/>
      </vt:variant>
      <vt:variant>
        <vt:lpwstr>_Toc81752210</vt:lpwstr>
      </vt:variant>
      <vt:variant>
        <vt:i4>1572925</vt:i4>
      </vt:variant>
      <vt:variant>
        <vt:i4>332</vt:i4>
      </vt:variant>
      <vt:variant>
        <vt:i4>0</vt:i4>
      </vt:variant>
      <vt:variant>
        <vt:i4>5</vt:i4>
      </vt:variant>
      <vt:variant>
        <vt:lpwstr/>
      </vt:variant>
      <vt:variant>
        <vt:lpwstr>_Toc81752209</vt:lpwstr>
      </vt:variant>
      <vt:variant>
        <vt:i4>1638461</vt:i4>
      </vt:variant>
      <vt:variant>
        <vt:i4>326</vt:i4>
      </vt:variant>
      <vt:variant>
        <vt:i4>0</vt:i4>
      </vt:variant>
      <vt:variant>
        <vt:i4>5</vt:i4>
      </vt:variant>
      <vt:variant>
        <vt:lpwstr/>
      </vt:variant>
      <vt:variant>
        <vt:lpwstr>_Toc81752208</vt:lpwstr>
      </vt:variant>
      <vt:variant>
        <vt:i4>1441853</vt:i4>
      </vt:variant>
      <vt:variant>
        <vt:i4>320</vt:i4>
      </vt:variant>
      <vt:variant>
        <vt:i4>0</vt:i4>
      </vt:variant>
      <vt:variant>
        <vt:i4>5</vt:i4>
      </vt:variant>
      <vt:variant>
        <vt:lpwstr/>
      </vt:variant>
      <vt:variant>
        <vt:lpwstr>_Toc81752207</vt:lpwstr>
      </vt:variant>
      <vt:variant>
        <vt:i4>1507389</vt:i4>
      </vt:variant>
      <vt:variant>
        <vt:i4>314</vt:i4>
      </vt:variant>
      <vt:variant>
        <vt:i4>0</vt:i4>
      </vt:variant>
      <vt:variant>
        <vt:i4>5</vt:i4>
      </vt:variant>
      <vt:variant>
        <vt:lpwstr/>
      </vt:variant>
      <vt:variant>
        <vt:lpwstr>_Toc81752206</vt:lpwstr>
      </vt:variant>
      <vt:variant>
        <vt:i4>1310781</vt:i4>
      </vt:variant>
      <vt:variant>
        <vt:i4>308</vt:i4>
      </vt:variant>
      <vt:variant>
        <vt:i4>0</vt:i4>
      </vt:variant>
      <vt:variant>
        <vt:i4>5</vt:i4>
      </vt:variant>
      <vt:variant>
        <vt:lpwstr/>
      </vt:variant>
      <vt:variant>
        <vt:lpwstr>_Toc81752205</vt:lpwstr>
      </vt:variant>
      <vt:variant>
        <vt:i4>1376317</vt:i4>
      </vt:variant>
      <vt:variant>
        <vt:i4>302</vt:i4>
      </vt:variant>
      <vt:variant>
        <vt:i4>0</vt:i4>
      </vt:variant>
      <vt:variant>
        <vt:i4>5</vt:i4>
      </vt:variant>
      <vt:variant>
        <vt:lpwstr/>
      </vt:variant>
      <vt:variant>
        <vt:lpwstr>_Toc81752204</vt:lpwstr>
      </vt:variant>
      <vt:variant>
        <vt:i4>1179709</vt:i4>
      </vt:variant>
      <vt:variant>
        <vt:i4>296</vt:i4>
      </vt:variant>
      <vt:variant>
        <vt:i4>0</vt:i4>
      </vt:variant>
      <vt:variant>
        <vt:i4>5</vt:i4>
      </vt:variant>
      <vt:variant>
        <vt:lpwstr/>
      </vt:variant>
      <vt:variant>
        <vt:lpwstr>_Toc81752203</vt:lpwstr>
      </vt:variant>
      <vt:variant>
        <vt:i4>1245245</vt:i4>
      </vt:variant>
      <vt:variant>
        <vt:i4>290</vt:i4>
      </vt:variant>
      <vt:variant>
        <vt:i4>0</vt:i4>
      </vt:variant>
      <vt:variant>
        <vt:i4>5</vt:i4>
      </vt:variant>
      <vt:variant>
        <vt:lpwstr/>
      </vt:variant>
      <vt:variant>
        <vt:lpwstr>_Toc81752202</vt:lpwstr>
      </vt:variant>
      <vt:variant>
        <vt:i4>1048637</vt:i4>
      </vt:variant>
      <vt:variant>
        <vt:i4>284</vt:i4>
      </vt:variant>
      <vt:variant>
        <vt:i4>0</vt:i4>
      </vt:variant>
      <vt:variant>
        <vt:i4>5</vt:i4>
      </vt:variant>
      <vt:variant>
        <vt:lpwstr/>
      </vt:variant>
      <vt:variant>
        <vt:lpwstr>_Toc81752201</vt:lpwstr>
      </vt:variant>
      <vt:variant>
        <vt:i4>1114173</vt:i4>
      </vt:variant>
      <vt:variant>
        <vt:i4>278</vt:i4>
      </vt:variant>
      <vt:variant>
        <vt:i4>0</vt:i4>
      </vt:variant>
      <vt:variant>
        <vt:i4>5</vt:i4>
      </vt:variant>
      <vt:variant>
        <vt:lpwstr/>
      </vt:variant>
      <vt:variant>
        <vt:lpwstr>_Toc81752200</vt:lpwstr>
      </vt:variant>
      <vt:variant>
        <vt:i4>1769524</vt:i4>
      </vt:variant>
      <vt:variant>
        <vt:i4>272</vt:i4>
      </vt:variant>
      <vt:variant>
        <vt:i4>0</vt:i4>
      </vt:variant>
      <vt:variant>
        <vt:i4>5</vt:i4>
      </vt:variant>
      <vt:variant>
        <vt:lpwstr/>
      </vt:variant>
      <vt:variant>
        <vt:lpwstr>_Toc81752199</vt:lpwstr>
      </vt:variant>
      <vt:variant>
        <vt:i4>1703988</vt:i4>
      </vt:variant>
      <vt:variant>
        <vt:i4>266</vt:i4>
      </vt:variant>
      <vt:variant>
        <vt:i4>0</vt:i4>
      </vt:variant>
      <vt:variant>
        <vt:i4>5</vt:i4>
      </vt:variant>
      <vt:variant>
        <vt:lpwstr/>
      </vt:variant>
      <vt:variant>
        <vt:lpwstr>_Toc81752198</vt:lpwstr>
      </vt:variant>
      <vt:variant>
        <vt:i4>1376308</vt:i4>
      </vt:variant>
      <vt:variant>
        <vt:i4>260</vt:i4>
      </vt:variant>
      <vt:variant>
        <vt:i4>0</vt:i4>
      </vt:variant>
      <vt:variant>
        <vt:i4>5</vt:i4>
      </vt:variant>
      <vt:variant>
        <vt:lpwstr/>
      </vt:variant>
      <vt:variant>
        <vt:lpwstr>_Toc81752197</vt:lpwstr>
      </vt:variant>
      <vt:variant>
        <vt:i4>1310772</vt:i4>
      </vt:variant>
      <vt:variant>
        <vt:i4>254</vt:i4>
      </vt:variant>
      <vt:variant>
        <vt:i4>0</vt:i4>
      </vt:variant>
      <vt:variant>
        <vt:i4>5</vt:i4>
      </vt:variant>
      <vt:variant>
        <vt:lpwstr/>
      </vt:variant>
      <vt:variant>
        <vt:lpwstr>_Toc81752196</vt:lpwstr>
      </vt:variant>
      <vt:variant>
        <vt:i4>1507380</vt:i4>
      </vt:variant>
      <vt:variant>
        <vt:i4>248</vt:i4>
      </vt:variant>
      <vt:variant>
        <vt:i4>0</vt:i4>
      </vt:variant>
      <vt:variant>
        <vt:i4>5</vt:i4>
      </vt:variant>
      <vt:variant>
        <vt:lpwstr/>
      </vt:variant>
      <vt:variant>
        <vt:lpwstr>_Toc81752195</vt:lpwstr>
      </vt:variant>
      <vt:variant>
        <vt:i4>1441844</vt:i4>
      </vt:variant>
      <vt:variant>
        <vt:i4>242</vt:i4>
      </vt:variant>
      <vt:variant>
        <vt:i4>0</vt:i4>
      </vt:variant>
      <vt:variant>
        <vt:i4>5</vt:i4>
      </vt:variant>
      <vt:variant>
        <vt:lpwstr/>
      </vt:variant>
      <vt:variant>
        <vt:lpwstr>_Toc81752194</vt:lpwstr>
      </vt:variant>
      <vt:variant>
        <vt:i4>1114164</vt:i4>
      </vt:variant>
      <vt:variant>
        <vt:i4>236</vt:i4>
      </vt:variant>
      <vt:variant>
        <vt:i4>0</vt:i4>
      </vt:variant>
      <vt:variant>
        <vt:i4>5</vt:i4>
      </vt:variant>
      <vt:variant>
        <vt:lpwstr/>
      </vt:variant>
      <vt:variant>
        <vt:lpwstr>_Toc81752193</vt:lpwstr>
      </vt:variant>
      <vt:variant>
        <vt:i4>1048628</vt:i4>
      </vt:variant>
      <vt:variant>
        <vt:i4>230</vt:i4>
      </vt:variant>
      <vt:variant>
        <vt:i4>0</vt:i4>
      </vt:variant>
      <vt:variant>
        <vt:i4>5</vt:i4>
      </vt:variant>
      <vt:variant>
        <vt:lpwstr/>
      </vt:variant>
      <vt:variant>
        <vt:lpwstr>_Toc81752192</vt:lpwstr>
      </vt:variant>
      <vt:variant>
        <vt:i4>1245236</vt:i4>
      </vt:variant>
      <vt:variant>
        <vt:i4>224</vt:i4>
      </vt:variant>
      <vt:variant>
        <vt:i4>0</vt:i4>
      </vt:variant>
      <vt:variant>
        <vt:i4>5</vt:i4>
      </vt:variant>
      <vt:variant>
        <vt:lpwstr/>
      </vt:variant>
      <vt:variant>
        <vt:lpwstr>_Toc81752191</vt:lpwstr>
      </vt:variant>
      <vt:variant>
        <vt:i4>1179700</vt:i4>
      </vt:variant>
      <vt:variant>
        <vt:i4>218</vt:i4>
      </vt:variant>
      <vt:variant>
        <vt:i4>0</vt:i4>
      </vt:variant>
      <vt:variant>
        <vt:i4>5</vt:i4>
      </vt:variant>
      <vt:variant>
        <vt:lpwstr/>
      </vt:variant>
      <vt:variant>
        <vt:lpwstr>_Toc81752190</vt:lpwstr>
      </vt:variant>
      <vt:variant>
        <vt:i4>1769525</vt:i4>
      </vt:variant>
      <vt:variant>
        <vt:i4>212</vt:i4>
      </vt:variant>
      <vt:variant>
        <vt:i4>0</vt:i4>
      </vt:variant>
      <vt:variant>
        <vt:i4>5</vt:i4>
      </vt:variant>
      <vt:variant>
        <vt:lpwstr/>
      </vt:variant>
      <vt:variant>
        <vt:lpwstr>_Toc81752189</vt:lpwstr>
      </vt:variant>
      <vt:variant>
        <vt:i4>1703989</vt:i4>
      </vt:variant>
      <vt:variant>
        <vt:i4>206</vt:i4>
      </vt:variant>
      <vt:variant>
        <vt:i4>0</vt:i4>
      </vt:variant>
      <vt:variant>
        <vt:i4>5</vt:i4>
      </vt:variant>
      <vt:variant>
        <vt:lpwstr/>
      </vt:variant>
      <vt:variant>
        <vt:lpwstr>_Toc81752188</vt:lpwstr>
      </vt:variant>
      <vt:variant>
        <vt:i4>1376309</vt:i4>
      </vt:variant>
      <vt:variant>
        <vt:i4>200</vt:i4>
      </vt:variant>
      <vt:variant>
        <vt:i4>0</vt:i4>
      </vt:variant>
      <vt:variant>
        <vt:i4>5</vt:i4>
      </vt:variant>
      <vt:variant>
        <vt:lpwstr/>
      </vt:variant>
      <vt:variant>
        <vt:lpwstr>_Toc81752187</vt:lpwstr>
      </vt:variant>
      <vt:variant>
        <vt:i4>1310773</vt:i4>
      </vt:variant>
      <vt:variant>
        <vt:i4>194</vt:i4>
      </vt:variant>
      <vt:variant>
        <vt:i4>0</vt:i4>
      </vt:variant>
      <vt:variant>
        <vt:i4>5</vt:i4>
      </vt:variant>
      <vt:variant>
        <vt:lpwstr/>
      </vt:variant>
      <vt:variant>
        <vt:lpwstr>_Toc81752186</vt:lpwstr>
      </vt:variant>
      <vt:variant>
        <vt:i4>1507381</vt:i4>
      </vt:variant>
      <vt:variant>
        <vt:i4>188</vt:i4>
      </vt:variant>
      <vt:variant>
        <vt:i4>0</vt:i4>
      </vt:variant>
      <vt:variant>
        <vt:i4>5</vt:i4>
      </vt:variant>
      <vt:variant>
        <vt:lpwstr/>
      </vt:variant>
      <vt:variant>
        <vt:lpwstr>_Toc81752185</vt:lpwstr>
      </vt:variant>
      <vt:variant>
        <vt:i4>1441845</vt:i4>
      </vt:variant>
      <vt:variant>
        <vt:i4>182</vt:i4>
      </vt:variant>
      <vt:variant>
        <vt:i4>0</vt:i4>
      </vt:variant>
      <vt:variant>
        <vt:i4>5</vt:i4>
      </vt:variant>
      <vt:variant>
        <vt:lpwstr/>
      </vt:variant>
      <vt:variant>
        <vt:lpwstr>_Toc81752184</vt:lpwstr>
      </vt:variant>
      <vt:variant>
        <vt:i4>1114165</vt:i4>
      </vt:variant>
      <vt:variant>
        <vt:i4>176</vt:i4>
      </vt:variant>
      <vt:variant>
        <vt:i4>0</vt:i4>
      </vt:variant>
      <vt:variant>
        <vt:i4>5</vt:i4>
      </vt:variant>
      <vt:variant>
        <vt:lpwstr/>
      </vt:variant>
      <vt:variant>
        <vt:lpwstr>_Toc81752183</vt:lpwstr>
      </vt:variant>
      <vt:variant>
        <vt:i4>1048629</vt:i4>
      </vt:variant>
      <vt:variant>
        <vt:i4>170</vt:i4>
      </vt:variant>
      <vt:variant>
        <vt:i4>0</vt:i4>
      </vt:variant>
      <vt:variant>
        <vt:i4>5</vt:i4>
      </vt:variant>
      <vt:variant>
        <vt:lpwstr/>
      </vt:variant>
      <vt:variant>
        <vt:lpwstr>_Toc81752182</vt:lpwstr>
      </vt:variant>
      <vt:variant>
        <vt:i4>1245237</vt:i4>
      </vt:variant>
      <vt:variant>
        <vt:i4>164</vt:i4>
      </vt:variant>
      <vt:variant>
        <vt:i4>0</vt:i4>
      </vt:variant>
      <vt:variant>
        <vt:i4>5</vt:i4>
      </vt:variant>
      <vt:variant>
        <vt:lpwstr/>
      </vt:variant>
      <vt:variant>
        <vt:lpwstr>_Toc81752181</vt:lpwstr>
      </vt:variant>
      <vt:variant>
        <vt:i4>1179701</vt:i4>
      </vt:variant>
      <vt:variant>
        <vt:i4>158</vt:i4>
      </vt:variant>
      <vt:variant>
        <vt:i4>0</vt:i4>
      </vt:variant>
      <vt:variant>
        <vt:i4>5</vt:i4>
      </vt:variant>
      <vt:variant>
        <vt:lpwstr/>
      </vt:variant>
      <vt:variant>
        <vt:lpwstr>_Toc81752180</vt:lpwstr>
      </vt:variant>
      <vt:variant>
        <vt:i4>1769530</vt:i4>
      </vt:variant>
      <vt:variant>
        <vt:i4>152</vt:i4>
      </vt:variant>
      <vt:variant>
        <vt:i4>0</vt:i4>
      </vt:variant>
      <vt:variant>
        <vt:i4>5</vt:i4>
      </vt:variant>
      <vt:variant>
        <vt:lpwstr/>
      </vt:variant>
      <vt:variant>
        <vt:lpwstr>_Toc81752179</vt:lpwstr>
      </vt:variant>
      <vt:variant>
        <vt:i4>1703994</vt:i4>
      </vt:variant>
      <vt:variant>
        <vt:i4>146</vt:i4>
      </vt:variant>
      <vt:variant>
        <vt:i4>0</vt:i4>
      </vt:variant>
      <vt:variant>
        <vt:i4>5</vt:i4>
      </vt:variant>
      <vt:variant>
        <vt:lpwstr/>
      </vt:variant>
      <vt:variant>
        <vt:lpwstr>_Toc81752178</vt:lpwstr>
      </vt:variant>
      <vt:variant>
        <vt:i4>1376314</vt:i4>
      </vt:variant>
      <vt:variant>
        <vt:i4>140</vt:i4>
      </vt:variant>
      <vt:variant>
        <vt:i4>0</vt:i4>
      </vt:variant>
      <vt:variant>
        <vt:i4>5</vt:i4>
      </vt:variant>
      <vt:variant>
        <vt:lpwstr/>
      </vt:variant>
      <vt:variant>
        <vt:lpwstr>_Toc81752177</vt:lpwstr>
      </vt:variant>
      <vt:variant>
        <vt:i4>1310778</vt:i4>
      </vt:variant>
      <vt:variant>
        <vt:i4>134</vt:i4>
      </vt:variant>
      <vt:variant>
        <vt:i4>0</vt:i4>
      </vt:variant>
      <vt:variant>
        <vt:i4>5</vt:i4>
      </vt:variant>
      <vt:variant>
        <vt:lpwstr/>
      </vt:variant>
      <vt:variant>
        <vt:lpwstr>_Toc81752176</vt:lpwstr>
      </vt:variant>
      <vt:variant>
        <vt:i4>1507386</vt:i4>
      </vt:variant>
      <vt:variant>
        <vt:i4>128</vt:i4>
      </vt:variant>
      <vt:variant>
        <vt:i4>0</vt:i4>
      </vt:variant>
      <vt:variant>
        <vt:i4>5</vt:i4>
      </vt:variant>
      <vt:variant>
        <vt:lpwstr/>
      </vt:variant>
      <vt:variant>
        <vt:lpwstr>_Toc81752175</vt:lpwstr>
      </vt:variant>
      <vt:variant>
        <vt:i4>1441850</vt:i4>
      </vt:variant>
      <vt:variant>
        <vt:i4>122</vt:i4>
      </vt:variant>
      <vt:variant>
        <vt:i4>0</vt:i4>
      </vt:variant>
      <vt:variant>
        <vt:i4>5</vt:i4>
      </vt:variant>
      <vt:variant>
        <vt:lpwstr/>
      </vt:variant>
      <vt:variant>
        <vt:lpwstr>_Toc81752174</vt:lpwstr>
      </vt:variant>
      <vt:variant>
        <vt:i4>1114170</vt:i4>
      </vt:variant>
      <vt:variant>
        <vt:i4>116</vt:i4>
      </vt:variant>
      <vt:variant>
        <vt:i4>0</vt:i4>
      </vt:variant>
      <vt:variant>
        <vt:i4>5</vt:i4>
      </vt:variant>
      <vt:variant>
        <vt:lpwstr/>
      </vt:variant>
      <vt:variant>
        <vt:lpwstr>_Toc81752173</vt:lpwstr>
      </vt:variant>
      <vt:variant>
        <vt:i4>1048634</vt:i4>
      </vt:variant>
      <vt:variant>
        <vt:i4>110</vt:i4>
      </vt:variant>
      <vt:variant>
        <vt:i4>0</vt:i4>
      </vt:variant>
      <vt:variant>
        <vt:i4>5</vt:i4>
      </vt:variant>
      <vt:variant>
        <vt:lpwstr/>
      </vt:variant>
      <vt:variant>
        <vt:lpwstr>_Toc81752172</vt:lpwstr>
      </vt:variant>
      <vt:variant>
        <vt:i4>1245242</vt:i4>
      </vt:variant>
      <vt:variant>
        <vt:i4>104</vt:i4>
      </vt:variant>
      <vt:variant>
        <vt:i4>0</vt:i4>
      </vt:variant>
      <vt:variant>
        <vt:i4>5</vt:i4>
      </vt:variant>
      <vt:variant>
        <vt:lpwstr/>
      </vt:variant>
      <vt:variant>
        <vt:lpwstr>_Toc81752171</vt:lpwstr>
      </vt:variant>
      <vt:variant>
        <vt:i4>1179706</vt:i4>
      </vt:variant>
      <vt:variant>
        <vt:i4>98</vt:i4>
      </vt:variant>
      <vt:variant>
        <vt:i4>0</vt:i4>
      </vt:variant>
      <vt:variant>
        <vt:i4>5</vt:i4>
      </vt:variant>
      <vt:variant>
        <vt:lpwstr/>
      </vt:variant>
      <vt:variant>
        <vt:lpwstr>_Toc81752170</vt:lpwstr>
      </vt:variant>
      <vt:variant>
        <vt:i4>1769531</vt:i4>
      </vt:variant>
      <vt:variant>
        <vt:i4>92</vt:i4>
      </vt:variant>
      <vt:variant>
        <vt:i4>0</vt:i4>
      </vt:variant>
      <vt:variant>
        <vt:i4>5</vt:i4>
      </vt:variant>
      <vt:variant>
        <vt:lpwstr/>
      </vt:variant>
      <vt:variant>
        <vt:lpwstr>_Toc81752169</vt:lpwstr>
      </vt:variant>
      <vt:variant>
        <vt:i4>1703995</vt:i4>
      </vt:variant>
      <vt:variant>
        <vt:i4>86</vt:i4>
      </vt:variant>
      <vt:variant>
        <vt:i4>0</vt:i4>
      </vt:variant>
      <vt:variant>
        <vt:i4>5</vt:i4>
      </vt:variant>
      <vt:variant>
        <vt:lpwstr/>
      </vt:variant>
      <vt:variant>
        <vt:lpwstr>_Toc81752168</vt:lpwstr>
      </vt:variant>
      <vt:variant>
        <vt:i4>1376315</vt:i4>
      </vt:variant>
      <vt:variant>
        <vt:i4>80</vt:i4>
      </vt:variant>
      <vt:variant>
        <vt:i4>0</vt:i4>
      </vt:variant>
      <vt:variant>
        <vt:i4>5</vt:i4>
      </vt:variant>
      <vt:variant>
        <vt:lpwstr/>
      </vt:variant>
      <vt:variant>
        <vt:lpwstr>_Toc81752167</vt:lpwstr>
      </vt:variant>
      <vt:variant>
        <vt:i4>1310779</vt:i4>
      </vt:variant>
      <vt:variant>
        <vt:i4>74</vt:i4>
      </vt:variant>
      <vt:variant>
        <vt:i4>0</vt:i4>
      </vt:variant>
      <vt:variant>
        <vt:i4>5</vt:i4>
      </vt:variant>
      <vt:variant>
        <vt:lpwstr/>
      </vt:variant>
      <vt:variant>
        <vt:lpwstr>_Toc81752166</vt:lpwstr>
      </vt:variant>
      <vt:variant>
        <vt:i4>1507387</vt:i4>
      </vt:variant>
      <vt:variant>
        <vt:i4>68</vt:i4>
      </vt:variant>
      <vt:variant>
        <vt:i4>0</vt:i4>
      </vt:variant>
      <vt:variant>
        <vt:i4>5</vt:i4>
      </vt:variant>
      <vt:variant>
        <vt:lpwstr/>
      </vt:variant>
      <vt:variant>
        <vt:lpwstr>_Toc81752165</vt:lpwstr>
      </vt:variant>
      <vt:variant>
        <vt:i4>1507389</vt:i4>
      </vt:variant>
      <vt:variant>
        <vt:i4>59</vt:i4>
      </vt:variant>
      <vt:variant>
        <vt:i4>0</vt:i4>
      </vt:variant>
      <vt:variant>
        <vt:i4>5</vt:i4>
      </vt:variant>
      <vt:variant>
        <vt:lpwstr/>
      </vt:variant>
      <vt:variant>
        <vt:lpwstr>_Toc81752400</vt:lpwstr>
      </vt:variant>
      <vt:variant>
        <vt:i4>1638452</vt:i4>
      </vt:variant>
      <vt:variant>
        <vt:i4>53</vt:i4>
      </vt:variant>
      <vt:variant>
        <vt:i4>0</vt:i4>
      </vt:variant>
      <vt:variant>
        <vt:i4>5</vt:i4>
      </vt:variant>
      <vt:variant>
        <vt:lpwstr/>
      </vt:variant>
      <vt:variant>
        <vt:lpwstr>_Toc81752399</vt:lpwstr>
      </vt:variant>
      <vt:variant>
        <vt:i4>1572916</vt:i4>
      </vt:variant>
      <vt:variant>
        <vt:i4>47</vt:i4>
      </vt:variant>
      <vt:variant>
        <vt:i4>0</vt:i4>
      </vt:variant>
      <vt:variant>
        <vt:i4>5</vt:i4>
      </vt:variant>
      <vt:variant>
        <vt:lpwstr/>
      </vt:variant>
      <vt:variant>
        <vt:lpwstr>_Toc81752398</vt:lpwstr>
      </vt:variant>
      <vt:variant>
        <vt:i4>1507380</vt:i4>
      </vt:variant>
      <vt:variant>
        <vt:i4>41</vt:i4>
      </vt:variant>
      <vt:variant>
        <vt:i4>0</vt:i4>
      </vt:variant>
      <vt:variant>
        <vt:i4>5</vt:i4>
      </vt:variant>
      <vt:variant>
        <vt:lpwstr/>
      </vt:variant>
      <vt:variant>
        <vt:lpwstr>_Toc81752397</vt:lpwstr>
      </vt:variant>
      <vt:variant>
        <vt:i4>1179709</vt:i4>
      </vt:variant>
      <vt:variant>
        <vt:i4>32</vt:i4>
      </vt:variant>
      <vt:variant>
        <vt:i4>0</vt:i4>
      </vt:variant>
      <vt:variant>
        <vt:i4>5</vt:i4>
      </vt:variant>
      <vt:variant>
        <vt:lpwstr/>
      </vt:variant>
      <vt:variant>
        <vt:lpwstr>_Toc81752001</vt:lpwstr>
      </vt:variant>
      <vt:variant>
        <vt:i4>1245245</vt:i4>
      </vt:variant>
      <vt:variant>
        <vt:i4>26</vt:i4>
      </vt:variant>
      <vt:variant>
        <vt:i4>0</vt:i4>
      </vt:variant>
      <vt:variant>
        <vt:i4>5</vt:i4>
      </vt:variant>
      <vt:variant>
        <vt:lpwstr/>
      </vt:variant>
      <vt:variant>
        <vt:lpwstr>_Toc81752000</vt:lpwstr>
      </vt:variant>
      <vt:variant>
        <vt:i4>1245239</vt:i4>
      </vt:variant>
      <vt:variant>
        <vt:i4>20</vt:i4>
      </vt:variant>
      <vt:variant>
        <vt:i4>0</vt:i4>
      </vt:variant>
      <vt:variant>
        <vt:i4>5</vt:i4>
      </vt:variant>
      <vt:variant>
        <vt:lpwstr/>
      </vt:variant>
      <vt:variant>
        <vt:lpwstr>_Toc81751999</vt:lpwstr>
      </vt:variant>
      <vt:variant>
        <vt:i4>1179703</vt:i4>
      </vt:variant>
      <vt:variant>
        <vt:i4>14</vt:i4>
      </vt:variant>
      <vt:variant>
        <vt:i4>0</vt:i4>
      </vt:variant>
      <vt:variant>
        <vt:i4>5</vt:i4>
      </vt:variant>
      <vt:variant>
        <vt:lpwstr/>
      </vt:variant>
      <vt:variant>
        <vt:lpwstr>_Toc81751998</vt:lpwstr>
      </vt:variant>
      <vt:variant>
        <vt:i4>1900599</vt:i4>
      </vt:variant>
      <vt:variant>
        <vt:i4>8</vt:i4>
      </vt:variant>
      <vt:variant>
        <vt:i4>0</vt:i4>
      </vt:variant>
      <vt:variant>
        <vt:i4>5</vt:i4>
      </vt:variant>
      <vt:variant>
        <vt:lpwstr/>
      </vt:variant>
      <vt:variant>
        <vt:lpwstr>_Toc81751997</vt:lpwstr>
      </vt:variant>
      <vt:variant>
        <vt:i4>1835063</vt:i4>
      </vt:variant>
      <vt:variant>
        <vt:i4>2</vt:i4>
      </vt:variant>
      <vt:variant>
        <vt:i4>0</vt:i4>
      </vt:variant>
      <vt:variant>
        <vt:i4>5</vt:i4>
      </vt:variant>
      <vt:variant>
        <vt:lpwstr/>
      </vt:variant>
      <vt:variant>
        <vt:lpwstr>_Toc81751996</vt:lpwstr>
      </vt:variant>
      <vt:variant>
        <vt:i4>458795</vt:i4>
      </vt:variant>
      <vt:variant>
        <vt:i4>0</vt:i4>
      </vt:variant>
      <vt:variant>
        <vt:i4>0</vt:i4>
      </vt:variant>
      <vt:variant>
        <vt:i4>5</vt:i4>
      </vt:variant>
      <vt:variant>
        <vt:lpwstr>https://ec.europa.eu/info/sites/info/files/food-farming-fisheries/events/improving-access-to-funding-young-farmers_en.pdf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Šimpachová Pechrová</dc:creator>
  <cp:keywords/>
  <dc:description/>
  <cp:lastModifiedBy>Kubů Alena</cp:lastModifiedBy>
  <cp:revision>184</cp:revision>
  <dcterms:created xsi:type="dcterms:W3CDTF">2021-08-24T13:31:00Z</dcterms:created>
  <dcterms:modified xsi:type="dcterms:W3CDTF">2022-01-27T08:27:00Z</dcterms:modified>
</cp:coreProperties>
</file>